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9"/>
        <w:rPr>
          <w:rFonts w:ascii="方正小标宋简体" w:hAnsi="宋体" w:eastAsia="方正小标宋简体"/>
          <w:color w:val="000000"/>
          <w:sz w:val="72"/>
          <w:szCs w:val="72"/>
        </w:rPr>
      </w:pPr>
      <w:bookmarkStart w:id="1" w:name="_Toc15377425"/>
      <w:bookmarkStart w:id="2" w:name="_Toc15377193"/>
      <w:bookmarkStart w:id="3" w:name="_Toc15378441"/>
      <w:bookmarkStart w:id="4" w:name="_Toc1539647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9"/>
        <w:rPr>
          <w:rFonts w:ascii="方正小标宋简体" w:hAnsi="宋体" w:eastAsia="方正小标宋简体"/>
          <w:color w:val="000000"/>
          <w:sz w:val="72"/>
          <w:szCs w:val="72"/>
        </w:rPr>
      </w:pPr>
      <w:bookmarkStart w:id="6" w:name="_Toc15377194"/>
      <w:bookmarkStart w:id="7" w:name="_Toc15378442"/>
      <w:bookmarkStart w:id="8" w:name="_Toc15396476"/>
      <w:bookmarkStart w:id="9" w:name="_Toc15396598"/>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泸州市龙马潭区人民检察院决算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公开时间：2020年9月</w:t>
      </w:r>
      <w:r>
        <w:rPr>
          <w:rFonts w:hint="eastAsia"/>
          <w:lang w:val="en-US" w:eastAsia="zh-CN"/>
        </w:rPr>
        <w:t>30</w:t>
      </w:r>
      <w:r>
        <w:rPr>
          <w:rFonts w:hint="eastAsia"/>
        </w:rPr>
        <w:t>日</w:t>
      </w:r>
    </w:p>
    <w:p/>
    <w:sdt>
      <w:sdtPr>
        <w:rPr>
          <w:rFonts w:ascii="宋体" w:hAnsi="宋体" w:eastAsia="宋体" w:cs="Times New Roman"/>
          <w:kern w:val="2"/>
          <w:sz w:val="21"/>
          <w:szCs w:val="24"/>
          <w:lang w:val="en-US" w:eastAsia="zh-CN" w:bidi="ar-SA"/>
        </w:rPr>
        <w:id w:val="147463967"/>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8"/>
              <w:szCs w:val="28"/>
            </w:rPr>
          </w:pPr>
          <w:bookmarkStart w:id="12" w:name="_Toc15396599"/>
          <w:bookmarkStart w:id="13" w:name="_Toc15377196"/>
        </w:p>
        <w:p>
          <w:pPr>
            <w:pStyle w:val="10"/>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_Toc20755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第一部分 </w:t>
          </w:r>
          <w:r>
            <w:rPr>
              <w:rFonts w:hint="eastAsia" w:ascii="仿宋" w:hAnsi="仿宋" w:eastAsia="仿宋" w:cs="仿宋"/>
              <w:bCs w:val="0"/>
              <w:sz w:val="28"/>
              <w:szCs w:val="28"/>
            </w:rPr>
            <w:t>部门概况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_Toc20755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_Toc5296 </w:instrText>
          </w:r>
          <w:r>
            <w:rPr>
              <w:rFonts w:hint="eastAsia" w:ascii="仿宋" w:hAnsi="仿宋" w:eastAsia="仿宋" w:cs="仿宋"/>
              <w:sz w:val="28"/>
              <w:szCs w:val="28"/>
            </w:rPr>
            <w:fldChar w:fldCharType="separate"/>
          </w:r>
          <w:r>
            <w:rPr>
              <w:rFonts w:hint="eastAsia" w:ascii="仿宋" w:hAnsi="仿宋" w:eastAsia="仿宋" w:cs="仿宋"/>
              <w:sz w:val="28"/>
              <w:szCs w:val="28"/>
            </w:rPr>
            <w:t>一、基</w:t>
          </w:r>
          <w:r>
            <w:rPr>
              <w:rFonts w:hint="eastAsia" w:ascii="仿宋" w:hAnsi="仿宋" w:eastAsia="仿宋" w:cs="仿宋"/>
              <w:bCs w:val="0"/>
              <w:sz w:val="28"/>
              <w:szCs w:val="28"/>
            </w:rPr>
            <w:t>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_Toc5296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_Toc25505 </w:instrText>
          </w:r>
          <w:r>
            <w:rPr>
              <w:rFonts w:hint="eastAsia" w:ascii="仿宋" w:hAnsi="仿宋" w:eastAsia="仿宋" w:cs="仿宋"/>
              <w:sz w:val="28"/>
              <w:szCs w:val="28"/>
            </w:rPr>
            <w:fldChar w:fldCharType="separate"/>
          </w:r>
          <w:r>
            <w:rPr>
              <w:rFonts w:hint="eastAsia" w:ascii="仿宋" w:hAnsi="仿宋" w:eastAsia="仿宋" w:cs="仿宋"/>
              <w:sz w:val="28"/>
              <w:szCs w:val="28"/>
            </w:rPr>
            <w:t>二、机</w:t>
          </w:r>
          <w:r>
            <w:rPr>
              <w:rFonts w:hint="eastAsia" w:ascii="仿宋" w:hAnsi="仿宋" w:eastAsia="仿宋" w:cs="仿宋"/>
              <w:bCs w:val="0"/>
              <w:sz w:val="28"/>
              <w:szCs w:val="28"/>
            </w:rPr>
            <w:t>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_Toc25505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_Toc10788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第二部分 </w:t>
          </w:r>
          <w:r>
            <w:rPr>
              <w:rFonts w:hint="eastAsia" w:ascii="仿宋" w:hAnsi="仿宋" w:eastAsia="仿宋" w:cs="仿宋"/>
              <w:bCs w:val="0"/>
              <w:sz w:val="28"/>
              <w:szCs w:val="28"/>
            </w:rPr>
            <w:t>2019年度部门决算情况说明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_Toc10788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_Toc31365 </w:instrText>
          </w:r>
          <w:r>
            <w:rPr>
              <w:rFonts w:hint="eastAsia" w:ascii="仿宋" w:hAnsi="仿宋" w:eastAsia="仿宋" w:cs="仿宋"/>
              <w:sz w:val="28"/>
              <w:szCs w:val="28"/>
            </w:rP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_Toc31365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_Toc9167 </w:instrText>
          </w:r>
          <w:r>
            <w:rPr>
              <w:rFonts w:hint="eastAsia" w:ascii="仿宋" w:hAnsi="仿宋" w:eastAsia="仿宋" w:cs="仿宋"/>
              <w:sz w:val="28"/>
              <w:szCs w:val="28"/>
            </w:rP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_Toc9167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_Toc1565 </w:instrText>
          </w:r>
          <w:r>
            <w:rPr>
              <w:rFonts w:hint="eastAsia" w:ascii="仿宋" w:hAnsi="仿宋" w:eastAsia="仿宋" w:cs="仿宋"/>
              <w:sz w:val="28"/>
              <w:szCs w:val="28"/>
            </w:rP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_Toc1565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_Toc31844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_Toc31844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_Toc23275 </w:instrText>
          </w:r>
          <w:r>
            <w:rPr>
              <w:rFonts w:hint="eastAsia" w:ascii="仿宋" w:hAnsi="仿宋" w:eastAsia="仿宋" w:cs="仿宋"/>
              <w:sz w:val="28"/>
              <w:szCs w:val="28"/>
            </w:rP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_Toc23275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_Toc28786 </w:instrText>
          </w:r>
          <w:r>
            <w:rPr>
              <w:rFonts w:hint="eastAsia" w:ascii="仿宋" w:hAnsi="仿宋" w:eastAsia="仿宋" w:cs="仿宋"/>
              <w:sz w:val="28"/>
              <w:szCs w:val="28"/>
            </w:rP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_Toc28786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_Toc31990 </w:instrText>
          </w:r>
          <w:r>
            <w:rPr>
              <w:rFonts w:hint="eastAsia" w:ascii="仿宋" w:hAnsi="仿宋" w:eastAsia="仿宋" w:cs="仿宋"/>
              <w:sz w:val="28"/>
              <w:szCs w:val="28"/>
            </w:rPr>
            <w:fldChar w:fldCharType="separate"/>
          </w:r>
          <w:r>
            <w:rPr>
              <w:rFonts w:hint="eastAsia" w:ascii="仿宋" w:hAnsi="仿宋" w:eastAsia="仿宋" w:cs="仿宋"/>
              <w:sz w:val="28"/>
              <w:szCs w:val="28"/>
            </w:rPr>
            <w:t>七、“三公”经费财政拨款支出决算情况说明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_Toc31990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_Toc3794 </w:instrText>
          </w:r>
          <w:r>
            <w:rPr>
              <w:rFonts w:hint="eastAsia" w:ascii="仿宋" w:hAnsi="仿宋" w:eastAsia="仿宋" w:cs="仿宋"/>
              <w:sz w:val="28"/>
              <w:szCs w:val="28"/>
            </w:rP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_Toc3794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_Toc5876 </w:instrText>
          </w:r>
          <w:r>
            <w:rPr>
              <w:rFonts w:hint="eastAsia" w:ascii="仿宋" w:hAnsi="仿宋" w:eastAsia="仿宋" w:cs="仿宋"/>
              <w:sz w:val="28"/>
              <w:szCs w:val="28"/>
            </w:rP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_Toc5876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_Toc22937 </w:instrText>
          </w:r>
          <w:r>
            <w:rPr>
              <w:rFonts w:hint="eastAsia" w:ascii="仿宋" w:hAnsi="仿宋" w:eastAsia="仿宋" w:cs="仿宋"/>
              <w:sz w:val="28"/>
              <w:szCs w:val="28"/>
            </w:rPr>
            <w:fldChar w:fldCharType="separate"/>
          </w:r>
          <w:r>
            <w:rPr>
              <w:rFonts w:hint="eastAsia" w:ascii="仿宋" w:hAnsi="仿宋" w:eastAsia="仿宋" w:cs="仿宋"/>
              <w:sz w:val="28"/>
              <w:szCs w:val="28"/>
            </w:rPr>
            <w:t>十、其他重要事项的情况说明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_Toc22937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_Toc1019 </w:instrText>
          </w:r>
          <w:r>
            <w:rPr>
              <w:rFonts w:hint="eastAsia" w:ascii="仿宋" w:hAnsi="仿宋" w:eastAsia="仿宋" w:cs="仿宋"/>
              <w:sz w:val="28"/>
              <w:szCs w:val="28"/>
            </w:rPr>
            <w:fldChar w:fldCharType="separate"/>
          </w:r>
          <w:r>
            <w:rPr>
              <w:rFonts w:hint="eastAsia" w:ascii="仿宋" w:hAnsi="仿宋" w:eastAsia="仿宋" w:cs="仿宋"/>
              <w:sz w:val="28"/>
              <w:szCs w:val="28"/>
            </w:rPr>
            <w:t>第三部分 名词解释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_Toc1019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_Toc25488 </w:instrText>
          </w:r>
          <w:r>
            <w:rPr>
              <w:rFonts w:hint="eastAsia" w:ascii="仿宋" w:hAnsi="仿宋" w:eastAsia="仿宋" w:cs="仿宋"/>
              <w:sz w:val="28"/>
              <w:szCs w:val="28"/>
            </w:rPr>
            <w:fldChar w:fldCharType="separate"/>
          </w:r>
          <w:r>
            <w:rPr>
              <w:rFonts w:hint="eastAsia" w:ascii="仿宋" w:hAnsi="仿宋" w:eastAsia="仿宋" w:cs="仿宋"/>
              <w:sz w:val="28"/>
              <w:szCs w:val="28"/>
            </w:rPr>
            <w:t>第四部分 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_Toc25488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_Toc18321 </w:instrText>
          </w:r>
          <w:r>
            <w:rPr>
              <w:rFonts w:hint="eastAsia" w:ascii="仿宋" w:hAnsi="仿宋" w:eastAsia="仿宋" w:cs="仿宋"/>
              <w:sz w:val="28"/>
              <w:szCs w:val="28"/>
            </w:rPr>
            <w:fldChar w:fldCharType="separate"/>
          </w:r>
          <w:r>
            <w:rPr>
              <w:rFonts w:hint="eastAsia" w:ascii="仿宋" w:hAnsi="仿宋" w:eastAsia="仿宋" w:cs="仿宋"/>
              <w:sz w:val="28"/>
              <w:szCs w:val="28"/>
            </w:rPr>
            <w:t>附件1</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_Toc18321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_Toc30337 </w:instrText>
          </w:r>
          <w:r>
            <w:rPr>
              <w:rFonts w:hint="eastAsia" w:ascii="仿宋" w:hAnsi="仿宋" w:eastAsia="仿宋" w:cs="仿宋"/>
              <w:sz w:val="28"/>
              <w:szCs w:val="28"/>
            </w:rPr>
            <w:fldChar w:fldCharType="separate"/>
          </w:r>
          <w:r>
            <w:rPr>
              <w:rFonts w:hint="eastAsia" w:ascii="仿宋" w:hAnsi="仿宋" w:eastAsia="仿宋" w:cs="仿宋"/>
              <w:sz w:val="28"/>
              <w:szCs w:val="28"/>
            </w:rPr>
            <w:t>第五部分 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_Toc30337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_Toc28489 </w:instrText>
          </w:r>
          <w:r>
            <w:rPr>
              <w:rFonts w:hint="eastAsia" w:ascii="仿宋" w:hAnsi="仿宋" w:eastAsia="仿宋" w:cs="仿宋"/>
              <w:sz w:val="28"/>
              <w:szCs w:val="28"/>
            </w:rPr>
            <w:fldChar w:fldCharType="separate"/>
          </w:r>
          <w:r>
            <w:rPr>
              <w:rFonts w:hint="eastAsia" w:ascii="仿宋" w:hAnsi="仿宋" w:eastAsia="仿宋" w:cs="仿宋"/>
              <w:sz w:val="28"/>
              <w:szCs w:val="28"/>
            </w:rPr>
            <w:t>一、收</w:t>
          </w:r>
          <w:r>
            <w:rPr>
              <w:rFonts w:hint="eastAsia" w:ascii="仿宋" w:hAnsi="仿宋" w:eastAsia="仿宋" w:cs="仿宋"/>
              <w:bCs w:val="0"/>
              <w:sz w:val="28"/>
              <w:szCs w:val="28"/>
            </w:rPr>
            <w:t>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_Toc28489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_Toc28890 </w:instrText>
          </w:r>
          <w:r>
            <w:rPr>
              <w:rFonts w:hint="eastAsia" w:ascii="仿宋" w:hAnsi="仿宋" w:eastAsia="仿宋" w:cs="仿宋"/>
              <w:sz w:val="28"/>
              <w:szCs w:val="28"/>
            </w:rPr>
            <w:fldChar w:fldCharType="separate"/>
          </w:r>
          <w:r>
            <w:rPr>
              <w:rFonts w:hint="eastAsia" w:ascii="仿宋" w:hAnsi="仿宋" w:eastAsia="仿宋" w:cs="仿宋"/>
              <w:sz w:val="28"/>
              <w:szCs w:val="28"/>
            </w:rPr>
            <w:t>二、收</w:t>
          </w:r>
          <w:r>
            <w:rPr>
              <w:rFonts w:hint="eastAsia" w:ascii="仿宋" w:hAnsi="仿宋" w:eastAsia="仿宋" w:cs="仿宋"/>
              <w:bCs w:val="0"/>
              <w:sz w:val="28"/>
              <w:szCs w:val="28"/>
            </w:rPr>
            <w:t>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_Toc28890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_Toc29273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三、</w:t>
          </w:r>
          <w:r>
            <w:rPr>
              <w:rFonts w:hint="eastAsia" w:ascii="仿宋" w:hAnsi="仿宋" w:eastAsia="仿宋" w:cs="仿宋"/>
              <w:sz w:val="28"/>
              <w:szCs w:val="28"/>
            </w:rPr>
            <w:t>支</w:t>
          </w:r>
          <w:r>
            <w:rPr>
              <w:rFonts w:hint="eastAsia" w:ascii="仿宋" w:hAnsi="仿宋" w:eastAsia="仿宋" w:cs="仿宋"/>
              <w:bCs w:val="0"/>
              <w:sz w:val="28"/>
              <w:szCs w:val="28"/>
            </w:rPr>
            <w:t>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_Toc29273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_Toc15733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四、</w:t>
          </w:r>
          <w:r>
            <w:rPr>
              <w:rFonts w:hint="eastAsia" w:ascii="仿宋" w:hAnsi="仿宋" w:eastAsia="仿宋" w:cs="仿宋"/>
              <w:sz w:val="28"/>
              <w:szCs w:val="28"/>
            </w:rPr>
            <w:t>财</w:t>
          </w:r>
          <w:r>
            <w:rPr>
              <w:rFonts w:hint="eastAsia" w:ascii="仿宋" w:hAnsi="仿宋" w:eastAsia="仿宋" w:cs="仿宋"/>
              <w:bCs w:val="0"/>
              <w:sz w:val="28"/>
              <w:szCs w:val="28"/>
            </w:rPr>
            <w:t>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_Toc15733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_Toc1737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五、</w:t>
          </w:r>
          <w:r>
            <w:rPr>
              <w:rFonts w:hint="eastAsia" w:ascii="仿宋" w:hAnsi="仿宋" w:eastAsia="仿宋" w:cs="仿宋"/>
              <w:sz w:val="28"/>
              <w:szCs w:val="28"/>
            </w:rPr>
            <w:t>财</w:t>
          </w:r>
          <w:r>
            <w:rPr>
              <w:rFonts w:hint="eastAsia" w:ascii="仿宋" w:hAnsi="仿宋" w:eastAsia="仿宋" w:cs="仿宋"/>
              <w:bCs w:val="0"/>
              <w:sz w:val="28"/>
              <w:szCs w:val="28"/>
            </w:rPr>
            <w:t>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_Toc1737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_Toc7810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六、</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_Toc7810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_Toc24875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七、</w:t>
          </w:r>
          <w:r>
            <w:rPr>
              <w:rFonts w:hint="eastAsia" w:ascii="仿宋" w:hAnsi="仿宋" w:eastAsia="仿宋" w:cs="仿宋"/>
              <w:sz w:val="28"/>
              <w:szCs w:val="28"/>
            </w:rPr>
            <w:t>一</w:t>
          </w:r>
          <w:r>
            <w:rPr>
              <w:rFonts w:hint="eastAsia" w:ascii="仿宋" w:hAnsi="仿宋" w:eastAsia="仿宋" w:cs="仿宋"/>
              <w:bCs w:val="0"/>
              <w:sz w:val="28"/>
              <w:szCs w:val="28"/>
            </w:rPr>
            <w:t>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_Toc24875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_Toc3303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八、</w:t>
          </w:r>
          <w:r>
            <w:rPr>
              <w:rFonts w:hint="eastAsia" w:ascii="仿宋" w:hAnsi="仿宋" w:eastAsia="仿宋" w:cs="仿宋"/>
              <w:sz w:val="28"/>
              <w:szCs w:val="28"/>
            </w:rPr>
            <w:t>一</w:t>
          </w:r>
          <w:r>
            <w:rPr>
              <w:rFonts w:hint="eastAsia" w:ascii="仿宋" w:hAnsi="仿宋" w:eastAsia="仿宋" w:cs="仿宋"/>
              <w:bCs w:val="0"/>
              <w:sz w:val="28"/>
              <w:szCs w:val="28"/>
            </w:rPr>
            <w:t>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_Toc3303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_Toc15098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九、</w:t>
          </w:r>
          <w:r>
            <w:rPr>
              <w:rFonts w:hint="eastAsia" w:ascii="仿宋" w:hAnsi="仿宋" w:eastAsia="仿宋" w:cs="仿宋"/>
              <w:sz w:val="28"/>
              <w:szCs w:val="28"/>
            </w:rPr>
            <w:t>一</w:t>
          </w:r>
          <w:r>
            <w:rPr>
              <w:rFonts w:hint="eastAsia" w:ascii="仿宋" w:hAnsi="仿宋" w:eastAsia="仿宋" w:cs="仿宋"/>
              <w:bCs w:val="0"/>
              <w:sz w:val="28"/>
              <w:szCs w:val="28"/>
            </w:rPr>
            <w:t>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_Toc15098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_Toc14236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w:t>
          </w:r>
          <w:r>
            <w:rPr>
              <w:rFonts w:hint="eastAsia" w:ascii="仿宋" w:hAnsi="仿宋" w:eastAsia="仿宋" w:cs="仿宋"/>
              <w:sz w:val="28"/>
              <w:szCs w:val="28"/>
            </w:rPr>
            <w:t>一</w:t>
          </w:r>
          <w:r>
            <w:rPr>
              <w:rFonts w:hint="eastAsia" w:ascii="仿宋" w:hAnsi="仿宋" w:eastAsia="仿宋" w:cs="仿宋"/>
              <w:bCs w:val="0"/>
              <w:sz w:val="28"/>
              <w:szCs w:val="28"/>
            </w:rPr>
            <w:t>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_Toc14236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_Toc7445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十一、</w:t>
          </w:r>
          <w:r>
            <w:rPr>
              <w:rFonts w:hint="eastAsia" w:ascii="仿宋" w:hAnsi="仿宋" w:eastAsia="仿宋" w:cs="仿宋"/>
              <w:sz w:val="28"/>
              <w:szCs w:val="28"/>
            </w:rPr>
            <w:t>政</w:t>
          </w:r>
          <w:r>
            <w:rPr>
              <w:rFonts w:hint="eastAsia" w:ascii="仿宋" w:hAnsi="仿宋" w:eastAsia="仿宋" w:cs="仿宋"/>
              <w:bCs w:val="0"/>
              <w:sz w:val="28"/>
              <w:szCs w:val="28"/>
            </w:rPr>
            <w:t>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_Toc7445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_Toc19135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十二、</w:t>
          </w:r>
          <w:r>
            <w:rPr>
              <w:rFonts w:hint="eastAsia" w:ascii="仿宋" w:hAnsi="仿宋" w:eastAsia="仿宋" w:cs="仿宋"/>
              <w:sz w:val="28"/>
              <w:szCs w:val="28"/>
            </w:rPr>
            <w:t>政</w:t>
          </w:r>
          <w:r>
            <w:rPr>
              <w:rFonts w:hint="eastAsia" w:ascii="仿宋" w:hAnsi="仿宋" w:eastAsia="仿宋" w:cs="仿宋"/>
              <w:bCs w:val="0"/>
              <w:sz w:val="28"/>
              <w:szCs w:val="28"/>
            </w:rPr>
            <w:t>府性基金预算财政拨款“三公”经费支出决算表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_Toc19135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 w:val="clear" w:pos="8296"/>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_Toc5873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十三、</w:t>
          </w:r>
          <w:r>
            <w:rPr>
              <w:rFonts w:hint="eastAsia" w:ascii="仿宋" w:hAnsi="仿宋" w:eastAsia="仿宋" w:cs="仿宋"/>
              <w:sz w:val="28"/>
              <w:szCs w:val="28"/>
            </w:rPr>
            <w:t>国</w:t>
          </w:r>
          <w:r>
            <w:rPr>
              <w:rFonts w:hint="eastAsia" w:ascii="仿宋" w:hAnsi="仿宋" w:eastAsia="仿宋" w:cs="仿宋"/>
              <w:bCs w:val="0"/>
              <w:sz w:val="28"/>
              <w:szCs w:val="28"/>
            </w:rPr>
            <w:t>有资本经营预算支出决算表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_Toc5873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r>
            <w:rPr>
              <w:rFonts w:hint="eastAsia" w:ascii="仿宋" w:hAnsi="仿宋" w:eastAsia="仿宋" w:cs="仿宋"/>
              <w:szCs w:val="28"/>
            </w:rPr>
            <w:fldChar w:fldCharType="end"/>
          </w:r>
        </w:p>
      </w:sdtContent>
    </w:sdt>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2"/>
        <w:jc w:val="center"/>
        <w:rPr>
          <w:rStyle w:val="25"/>
          <w:rFonts w:ascii="黑体" w:hAnsi="黑体" w:eastAsia="黑体"/>
          <w:b/>
          <w:bCs w:val="0"/>
        </w:rPr>
      </w:pPr>
      <w:bookmarkStart w:id="14" w:name="_Toc20755"/>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bookmarkEnd w:id="14"/>
    </w:p>
    <w:p>
      <w:pPr>
        <w:widowControl/>
        <w:jc w:val="left"/>
        <w:rPr>
          <w:rFonts w:ascii="黑体" w:eastAsia="黑体"/>
          <w:color w:val="000000"/>
          <w:sz w:val="32"/>
          <w:szCs w:val="32"/>
        </w:rPr>
      </w:pPr>
    </w:p>
    <w:p>
      <w:pPr>
        <w:pStyle w:val="3"/>
        <w:rPr>
          <w:rStyle w:val="26"/>
          <w:rFonts w:ascii="仿宋" w:hAnsi="仿宋" w:eastAsia="仿宋"/>
          <w:b w:val="0"/>
          <w:bCs w:val="0"/>
        </w:rPr>
      </w:pPr>
      <w:bookmarkStart w:id="15" w:name="_Toc15396600"/>
      <w:bookmarkStart w:id="16" w:name="_Toc15377197"/>
      <w:bookmarkStart w:id="17" w:name="_Toc5296"/>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5"/>
      <w:bookmarkEnd w:id="16"/>
      <w:bookmarkEnd w:id="17"/>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7198"/>
      <w:bookmarkStart w:id="19" w:name="_Toc15378445"/>
      <w:r>
        <w:rPr>
          <w:rFonts w:hint="eastAsia" w:ascii="仿宋" w:hAnsi="仿宋" w:eastAsia="仿宋"/>
          <w:bCs/>
          <w:color w:val="000000"/>
          <w:sz w:val="32"/>
          <w:szCs w:val="32"/>
        </w:rPr>
        <w:t>（一）主要职能。</w:t>
      </w:r>
      <w:bookmarkEnd w:id="18"/>
      <w:bookmarkEnd w:id="19"/>
      <w:bookmarkStart w:id="20" w:name="_Toc15378446"/>
      <w:bookmarkStart w:id="21" w:name="_Toc15377199"/>
    </w:p>
    <w:p>
      <w:pPr>
        <w:pStyle w:val="5"/>
        <w:adjustRightInd w:val="0"/>
        <w:snapToGrid w:val="0"/>
        <w:spacing w:before="93" w:line="600" w:lineRule="exact"/>
        <w:ind w:firstLine="672" w:firstLineChars="210"/>
        <w:outlineLvl w:val="9"/>
        <w:rPr>
          <w:rFonts w:hint="eastAsia" w:ascii="仿宋" w:hAnsi="仿宋" w:eastAsia="仿宋"/>
          <w:bCs/>
          <w:color w:val="000000"/>
          <w:sz w:val="32"/>
          <w:szCs w:val="32"/>
        </w:rPr>
      </w:pPr>
      <w:r>
        <w:rPr>
          <w:rFonts w:hint="eastAsia" w:ascii="仿宋" w:hAnsi="仿宋" w:eastAsia="仿宋"/>
          <w:bCs/>
          <w:color w:val="000000"/>
          <w:sz w:val="32"/>
          <w:szCs w:val="32"/>
        </w:rPr>
        <w:t>泸州市龙马潭区人民检察院是行政单位，基本职能是通过行使检察权，监督法律实施，惩罚犯罪活动，保护国家安全、人民民主专政政权和社会主义制度，尊重和保障人权，保护公民、法人和其他组织的合法权益，维护国家法律的统一和政权实施。</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20"/>
      <w:bookmarkEnd w:id="21"/>
    </w:p>
    <w:p>
      <w:pPr>
        <w:pStyle w:val="5"/>
        <w:adjustRightInd w:val="0"/>
        <w:snapToGrid w:val="0"/>
        <w:spacing w:before="93" w:line="600" w:lineRule="exact"/>
        <w:ind w:firstLine="672" w:firstLineChars="210"/>
        <w:outlineLvl w:val="9"/>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2019年，泸州市龙马潭区人民检察院坚持以习近平新时代中国特色社会主义思想为指导，紧紧围绕龙马潭区经济社会发展大局，依法全面履行法律监督职责，为龙马潭区经济社会发展营造良好的法治环境。坚持服务平安龙马潭建设，依法惩治犯罪维护社会稳定。充分发挥打击、监督、保护等职能作用，为中华人民共和国成立70周年营造安全稳定的社会环境。坚持服务中心服务大局，积极营造良好法治环境。坚决贯彻落实区委各项重大决策部署，全力服务保障全区中心工作，在齐家十八社遗留问题、大棚房全面整治、一航司清算解散等方面，充分运用检察职能，主动担当作为，攻坚克难，为一批重点项目顺利推进保驾护航。做优刑事检察，实现公平与效率的统一。强化民事、行政案件监督，促进社会公平正义。纵深推进公益诉讼，切实维护国家社会公共利益。积极参与社会矛盾化解。</w:t>
      </w:r>
      <w:r>
        <w:rPr>
          <w:rFonts w:hint="eastAsia" w:eastAsia="仿宋_GB2312"/>
          <w:color w:val="000000"/>
          <w:sz w:val="32"/>
          <w:szCs w:val="32"/>
        </w:rPr>
        <w:t>坚持“迟来的正义不是真正正义”的效率理念，严格落实最高检“群众来信件件有回复”制度，抓实群众来信7日内程序回复、3个月内办理过程或结果答复。关心关爱未成年人健康成长</w:t>
      </w:r>
      <w:r>
        <w:rPr>
          <w:rFonts w:hint="eastAsia"/>
          <w:color w:val="000000"/>
          <w:sz w:val="32"/>
          <w:szCs w:val="32"/>
          <w:lang w:eastAsia="zh-CN"/>
        </w:rPr>
        <w:t>，持续推进便民、利民、惠民。牢固树立“以人民为中心”的执法理念，积极为老百姓提供方便快捷的服务。</w:t>
      </w:r>
      <w:r>
        <w:rPr>
          <w:rFonts w:hint="eastAsia" w:ascii="仿宋" w:hAnsi="仿宋" w:eastAsia="仿宋"/>
          <w:bCs/>
          <w:color w:val="000000"/>
          <w:sz w:val="32"/>
          <w:szCs w:val="32"/>
        </w:rPr>
        <w:t>主动融入全区中心工作，为辖区经济社会发展提供了强有力的法治保障。</w:t>
      </w:r>
    </w:p>
    <w:p>
      <w:pPr>
        <w:pStyle w:val="5"/>
        <w:adjustRightInd w:val="0"/>
        <w:snapToGrid w:val="0"/>
        <w:spacing w:before="93" w:line="600" w:lineRule="exact"/>
        <w:ind w:firstLine="672" w:firstLineChars="210"/>
        <w:outlineLvl w:val="9"/>
        <w:rPr>
          <w:rFonts w:hint="eastAsia" w:ascii="仿宋" w:hAnsi="仿宋" w:eastAsia="仿宋"/>
          <w:bCs/>
          <w:color w:val="000000"/>
          <w:sz w:val="32"/>
          <w:szCs w:val="32"/>
          <w:lang w:val="en-US" w:eastAsia="zh-CN"/>
        </w:rPr>
      </w:pPr>
    </w:p>
    <w:p>
      <w:pPr>
        <w:pStyle w:val="3"/>
        <w:rPr>
          <w:rStyle w:val="26"/>
          <w:b w:val="0"/>
          <w:bCs w:val="0"/>
        </w:rPr>
      </w:pPr>
      <w:bookmarkStart w:id="22" w:name="_Toc15396601"/>
      <w:bookmarkStart w:id="23" w:name="_Toc15377200"/>
      <w:bookmarkStart w:id="24" w:name="_Toc25505"/>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2"/>
      <w:bookmarkEnd w:id="23"/>
      <w:bookmarkEnd w:id="24"/>
    </w:p>
    <w:p>
      <w:pPr>
        <w:rPr>
          <w:rFonts w:ascii="仿宋" w:hAnsi="仿宋" w:eastAsia="仿宋"/>
          <w:color w:val="000000"/>
          <w:kern w:val="0"/>
          <w:sz w:val="32"/>
          <w:szCs w:val="32"/>
        </w:rPr>
      </w:pPr>
      <w:r>
        <w:rPr>
          <w:rFonts w:hint="eastAsia" w:ascii="仿宋" w:hAnsi="仿宋" w:eastAsia="仿宋"/>
          <w:sz w:val="32"/>
          <w:szCs w:val="32"/>
          <w:lang w:eastAsia="zh-CN"/>
        </w:rPr>
        <w:t>　　泸州市</w:t>
      </w:r>
      <w:r>
        <w:rPr>
          <w:rFonts w:hint="eastAsia" w:ascii="仿宋" w:hAnsi="仿宋" w:eastAsia="仿宋"/>
          <w:sz w:val="32"/>
          <w:szCs w:val="32"/>
        </w:rPr>
        <w:t>龙马潭区人民检察院下属二级单位1个，其中行政单位0个，参照公务员法管理的事业单位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个，其他事业单位1个</w:t>
      </w:r>
      <w:r>
        <w:rPr>
          <w:rFonts w:hint="eastAsia" w:ascii="仿宋" w:hAnsi="仿宋" w:eastAsia="仿宋"/>
          <w:sz w:val="32"/>
          <w:szCs w:val="32"/>
          <w:lang w:eastAsia="zh-CN"/>
        </w:rPr>
        <w:t>。</w:t>
      </w: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25" w:name="_Toc10788"/>
      <w:bookmarkStart w:id="26" w:name="_Toc15377204"/>
      <w:bookmarkStart w:id="27"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5"/>
      <w:bookmarkEnd w:id="26"/>
      <w:bookmarkEnd w:id="27"/>
    </w:p>
    <w:p/>
    <w:p>
      <w:pPr>
        <w:pStyle w:val="24"/>
        <w:numPr>
          <w:ilvl w:val="0"/>
          <w:numId w:val="1"/>
        </w:numPr>
        <w:spacing w:line="600" w:lineRule="exact"/>
        <w:ind w:firstLineChars="0"/>
        <w:outlineLvl w:val="1"/>
        <w:rPr>
          <w:rStyle w:val="26"/>
          <w:rFonts w:ascii="黑体" w:hAnsi="黑体" w:eastAsia="黑体"/>
          <w:b w:val="0"/>
        </w:rPr>
      </w:pPr>
      <w:bookmarkStart w:id="28" w:name="_Toc31365"/>
      <w:bookmarkStart w:id="29" w:name="_Toc15377205"/>
      <w:bookmarkStart w:id="30"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8"/>
      <w:bookmarkEnd w:id="29"/>
      <w:bookmarkEnd w:id="30"/>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年度收入总计</w:t>
      </w:r>
      <w:r>
        <w:rPr>
          <w:rFonts w:hint="eastAsia" w:ascii="仿宋" w:hAnsi="仿宋" w:eastAsia="仿宋"/>
          <w:color w:val="000000"/>
          <w:sz w:val="32"/>
          <w:szCs w:val="32"/>
          <w:lang w:val="en-US" w:eastAsia="zh-CN"/>
        </w:rPr>
        <w:t>1675.83</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年相比，收入总计</w:t>
      </w:r>
      <w:r>
        <w:rPr>
          <w:rFonts w:hint="eastAsia" w:ascii="仿宋" w:hAnsi="仿宋" w:eastAsia="仿宋"/>
          <w:color w:val="000000"/>
          <w:sz w:val="32"/>
          <w:szCs w:val="32"/>
          <w:lang w:eastAsia="zh-CN"/>
        </w:rPr>
        <w:t>减少</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34.35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12.27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转隶</w:t>
      </w:r>
      <w:r>
        <w:rPr>
          <w:rFonts w:hint="eastAsia" w:ascii="仿宋" w:hAnsi="仿宋" w:eastAsia="仿宋"/>
          <w:color w:val="000000"/>
          <w:sz w:val="32"/>
          <w:szCs w:val="32"/>
        </w:rPr>
        <w:t>公务员</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人</w:t>
      </w:r>
      <w:r>
        <w:rPr>
          <w:rFonts w:hint="eastAsia" w:ascii="仿宋" w:hAnsi="仿宋" w:eastAsia="仿宋"/>
          <w:color w:val="000000"/>
          <w:sz w:val="32"/>
          <w:szCs w:val="32"/>
          <w:lang w:eastAsia="zh-CN"/>
        </w:rPr>
        <w:t>、调动公务员</w:t>
      </w:r>
      <w:r>
        <w:rPr>
          <w:rFonts w:hint="eastAsia" w:ascii="仿宋" w:hAnsi="仿宋" w:eastAsia="仿宋"/>
          <w:color w:val="000000"/>
          <w:sz w:val="32"/>
          <w:szCs w:val="32"/>
          <w:lang w:val="en-US" w:eastAsia="zh-CN"/>
        </w:rPr>
        <w:t>1人</w:t>
      </w:r>
      <w:r>
        <w:rPr>
          <w:rFonts w:hint="eastAsia" w:ascii="仿宋" w:hAnsi="仿宋" w:eastAsia="仿宋"/>
          <w:color w:val="000000"/>
          <w:sz w:val="32"/>
          <w:szCs w:val="32"/>
          <w:lang w:eastAsia="zh-CN"/>
        </w:rPr>
        <w:t>至纪委</w:t>
      </w:r>
      <w:r>
        <w:rPr>
          <w:rFonts w:hint="eastAsia" w:ascii="仿宋" w:hAnsi="仿宋" w:eastAsia="仿宋"/>
          <w:color w:val="000000"/>
          <w:sz w:val="32"/>
          <w:szCs w:val="32"/>
        </w:rPr>
        <w:t>，</w:t>
      </w:r>
      <w:r>
        <w:rPr>
          <w:rFonts w:hint="eastAsia" w:ascii="仿宋" w:hAnsi="仿宋" w:eastAsia="仿宋"/>
          <w:color w:val="000000"/>
          <w:sz w:val="32"/>
          <w:szCs w:val="32"/>
          <w:lang w:eastAsia="zh-CN"/>
        </w:rPr>
        <w:t>退休</w:t>
      </w:r>
      <w:r>
        <w:rPr>
          <w:rFonts w:hint="eastAsia" w:ascii="仿宋" w:hAnsi="仿宋" w:eastAsia="仿宋"/>
          <w:color w:val="000000"/>
          <w:sz w:val="32"/>
          <w:szCs w:val="32"/>
          <w:lang w:val="en-US" w:eastAsia="zh-CN"/>
        </w:rPr>
        <w:t>1人。</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1675.83</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减少</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34.35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12.27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转隶</w:t>
      </w:r>
      <w:r>
        <w:rPr>
          <w:rFonts w:hint="eastAsia" w:ascii="仿宋" w:hAnsi="仿宋" w:eastAsia="仿宋"/>
          <w:color w:val="000000"/>
          <w:sz w:val="32"/>
          <w:szCs w:val="32"/>
        </w:rPr>
        <w:t>公务员</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人</w:t>
      </w:r>
      <w:r>
        <w:rPr>
          <w:rFonts w:hint="eastAsia" w:ascii="仿宋" w:hAnsi="仿宋" w:eastAsia="仿宋"/>
          <w:color w:val="000000"/>
          <w:sz w:val="32"/>
          <w:szCs w:val="32"/>
          <w:lang w:eastAsia="zh-CN"/>
        </w:rPr>
        <w:t>、调动公务员</w:t>
      </w:r>
      <w:r>
        <w:rPr>
          <w:rFonts w:hint="eastAsia" w:ascii="仿宋" w:hAnsi="仿宋" w:eastAsia="仿宋"/>
          <w:color w:val="000000"/>
          <w:sz w:val="32"/>
          <w:szCs w:val="32"/>
          <w:lang w:val="en-US" w:eastAsia="zh-CN"/>
        </w:rPr>
        <w:t>1人</w:t>
      </w:r>
      <w:r>
        <w:rPr>
          <w:rFonts w:hint="eastAsia" w:ascii="仿宋" w:hAnsi="仿宋" w:eastAsia="仿宋"/>
          <w:color w:val="000000"/>
          <w:sz w:val="32"/>
          <w:szCs w:val="32"/>
          <w:lang w:eastAsia="zh-CN"/>
        </w:rPr>
        <w:t>至纪委</w:t>
      </w:r>
      <w:r>
        <w:rPr>
          <w:rFonts w:hint="eastAsia" w:ascii="仿宋" w:hAnsi="仿宋" w:eastAsia="仿宋"/>
          <w:color w:val="000000"/>
          <w:sz w:val="32"/>
          <w:szCs w:val="32"/>
        </w:rPr>
        <w:t>，</w:t>
      </w:r>
      <w:r>
        <w:rPr>
          <w:rFonts w:hint="eastAsia" w:ascii="仿宋" w:hAnsi="仿宋" w:eastAsia="仿宋"/>
          <w:color w:val="000000"/>
          <w:sz w:val="32"/>
          <w:szCs w:val="32"/>
          <w:lang w:eastAsia="zh-CN"/>
        </w:rPr>
        <w:t>退休</w:t>
      </w:r>
      <w:r>
        <w:rPr>
          <w:rFonts w:hint="eastAsia" w:ascii="仿宋" w:hAnsi="仿宋" w:eastAsia="仿宋"/>
          <w:color w:val="000000"/>
          <w:sz w:val="32"/>
          <w:szCs w:val="32"/>
          <w:lang w:val="en-US" w:eastAsia="zh-CN"/>
        </w:rPr>
        <w:t>1人。</w:t>
      </w:r>
    </w:p>
    <w:p>
      <w:pPr>
        <w:spacing w:line="600" w:lineRule="exact"/>
        <w:ind w:firstLine="640" w:firstLineChars="200"/>
        <w:rPr>
          <w:rFonts w:hint="eastAsia" w:ascii="仿宋" w:hAnsi="仿宋" w:eastAsia="仿宋"/>
          <w:color w:val="000000"/>
          <w:sz w:val="32"/>
          <w:szCs w:val="32"/>
          <w:lang w:val="en-US" w:eastAsia="zh-CN"/>
        </w:rPr>
      </w:pP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420" w:firstLineChars="200"/>
        <w:rPr>
          <w:rFonts w:ascii="仿宋_GB2312" w:eastAsia="仿宋_GB2312"/>
          <w:color w:val="000000"/>
          <w:sz w:val="32"/>
          <w:szCs w:val="32"/>
        </w:rPr>
      </w:pPr>
      <w:r>
        <w:drawing>
          <wp:anchor distT="0" distB="0" distL="114300" distR="114300" simplePos="0" relativeHeight="251658240" behindDoc="0" locked="0" layoutInCell="1" allowOverlap="1">
            <wp:simplePos x="0" y="0"/>
            <wp:positionH relativeFrom="column">
              <wp:posOffset>1228725</wp:posOffset>
            </wp:positionH>
            <wp:positionV relativeFrom="paragraph">
              <wp:posOffset>257175</wp:posOffset>
            </wp:positionV>
            <wp:extent cx="2962275" cy="1476375"/>
            <wp:effectExtent l="0" t="0" r="9525"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962275" cy="1476375"/>
                    </a:xfrm>
                    <a:prstGeom prst="rect">
                      <a:avLst/>
                    </a:prstGeom>
                    <a:noFill/>
                    <a:ln>
                      <a:noFill/>
                    </a:ln>
                  </pic:spPr>
                </pic:pic>
              </a:graphicData>
            </a:graphic>
          </wp:anchor>
        </w:drawing>
      </w:r>
    </w:p>
    <w:p>
      <w:pPr>
        <w:pStyle w:val="24"/>
        <w:numPr>
          <w:ilvl w:val="0"/>
          <w:numId w:val="1"/>
        </w:numPr>
        <w:spacing w:line="600" w:lineRule="exact"/>
        <w:ind w:firstLineChars="0"/>
        <w:outlineLvl w:val="1"/>
        <w:rPr>
          <w:rStyle w:val="26"/>
          <w:rFonts w:ascii="黑体" w:hAnsi="黑体" w:eastAsia="黑体"/>
          <w:b w:val="0"/>
        </w:rPr>
      </w:pPr>
      <w:bookmarkStart w:id="31" w:name="_Toc15396604"/>
      <w:bookmarkStart w:id="32" w:name="_Toc9167"/>
      <w:bookmarkStart w:id="33"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31"/>
      <w:bookmarkEnd w:id="32"/>
      <w:bookmarkEnd w:id="33"/>
    </w:p>
    <w:p>
      <w:pPr>
        <w:spacing w:line="600" w:lineRule="exact"/>
        <w:outlineLvl w:val="9"/>
        <w:rPr>
          <w:rFonts w:ascii="仿宋" w:hAnsi="仿宋" w:eastAsia="仿宋"/>
          <w:color w:val="000000"/>
          <w:sz w:val="32"/>
          <w:szCs w:val="32"/>
        </w:rPr>
      </w:pPr>
      <w:r>
        <w:rPr>
          <w:rFonts w:hint="eastAsia" w:ascii="仿宋" w:hAnsi="仿宋" w:eastAsia="仿宋"/>
          <w:color w:val="000000"/>
          <w:sz w:val="32"/>
          <w:szCs w:val="32"/>
          <w:lang w:eastAsia="zh-CN"/>
        </w:rPr>
        <w:t>　　</w:t>
      </w: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1675.83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1675.83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；政府性基金预算财政拨款收入0万元，占0%；国有资本经营预算财政拨款收入0万元，占0%；事业收入0万元，占0%；经营收入0万元，占0%；附属单位上缴收入0万元，占0%；其他收入0万元，占0%。</w:t>
      </w:r>
    </w:p>
    <w:p>
      <w:pPr>
        <w:spacing w:line="600" w:lineRule="exact"/>
        <w:ind w:firstLine="640" w:firstLineChars="200"/>
        <w:jc w:val="center"/>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420" w:firstLineChars="200"/>
        <w:rPr>
          <w:rFonts w:ascii="仿宋_GB2312" w:eastAsia="仿宋_GB2312"/>
          <w:color w:val="FF0000"/>
          <w:sz w:val="32"/>
          <w:szCs w:val="32"/>
        </w:rPr>
      </w:pPr>
      <w:r>
        <w:drawing>
          <wp:anchor distT="0" distB="0" distL="114300" distR="114300" simplePos="0" relativeHeight="251659264" behindDoc="0" locked="0" layoutInCell="1" allowOverlap="1">
            <wp:simplePos x="0" y="0"/>
            <wp:positionH relativeFrom="column">
              <wp:posOffset>1704975</wp:posOffset>
            </wp:positionH>
            <wp:positionV relativeFrom="paragraph">
              <wp:posOffset>276225</wp:posOffset>
            </wp:positionV>
            <wp:extent cx="2362200" cy="1914525"/>
            <wp:effectExtent l="0" t="0" r="0"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362200" cy="1914525"/>
                    </a:xfrm>
                    <a:prstGeom prst="rect">
                      <a:avLst/>
                    </a:prstGeom>
                    <a:noFill/>
                    <a:ln>
                      <a:noFill/>
                    </a:ln>
                  </pic:spPr>
                </pic:pic>
              </a:graphicData>
            </a:graphic>
          </wp:anchor>
        </w:drawing>
      </w:r>
    </w:p>
    <w:p>
      <w:pPr>
        <w:pStyle w:val="24"/>
        <w:numPr>
          <w:ilvl w:val="0"/>
          <w:numId w:val="1"/>
        </w:numPr>
        <w:spacing w:line="600" w:lineRule="exact"/>
        <w:ind w:firstLineChars="0"/>
        <w:outlineLvl w:val="1"/>
        <w:rPr>
          <w:rStyle w:val="26"/>
          <w:rFonts w:ascii="黑体" w:hAnsi="黑体" w:eastAsia="黑体"/>
          <w:b w:val="0"/>
        </w:rPr>
      </w:pPr>
      <w:bookmarkStart w:id="34" w:name="_Toc15377207"/>
      <w:bookmarkStart w:id="35" w:name="_Toc1565"/>
      <w:bookmarkStart w:id="36"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34"/>
      <w:bookmarkEnd w:id="35"/>
      <w:bookmarkEnd w:id="36"/>
    </w:p>
    <w:p>
      <w:pPr>
        <w:spacing w:line="600" w:lineRule="exact"/>
        <w:ind w:firstLine="640" w:firstLineChars="200"/>
        <w:outlineLvl w:val="9"/>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1675.83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1428.83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85.26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247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14.74</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9"/>
        <w:rPr>
          <w:rFonts w:hint="eastAsia" w:ascii="仿宋" w:hAnsi="仿宋" w:eastAsia="仿宋"/>
          <w:color w:val="000000"/>
          <w:sz w:val="32"/>
          <w:szCs w:val="32"/>
        </w:rPr>
      </w:pPr>
    </w:p>
    <w:p>
      <w:pPr>
        <w:spacing w:line="600" w:lineRule="exact"/>
        <w:ind w:firstLine="640" w:firstLineChars="200"/>
        <w:jc w:val="center"/>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420" w:firstLineChars="200"/>
        <w:rPr>
          <w:rFonts w:ascii="仿宋_GB2312" w:eastAsia="仿宋_GB2312"/>
          <w:color w:val="FF0000"/>
          <w:sz w:val="32"/>
          <w:szCs w:val="32"/>
        </w:rPr>
      </w:pPr>
      <w:r>
        <w:drawing>
          <wp:anchor distT="0" distB="0" distL="114300" distR="114300" simplePos="0" relativeHeight="251660288" behindDoc="0" locked="0" layoutInCell="1" allowOverlap="1">
            <wp:simplePos x="0" y="0"/>
            <wp:positionH relativeFrom="column">
              <wp:posOffset>914400</wp:posOffset>
            </wp:positionH>
            <wp:positionV relativeFrom="paragraph">
              <wp:posOffset>133350</wp:posOffset>
            </wp:positionV>
            <wp:extent cx="3248025" cy="1971675"/>
            <wp:effectExtent l="0" t="0" r="9525" b="952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3248025" cy="1971675"/>
                    </a:xfrm>
                    <a:prstGeom prst="rect">
                      <a:avLst/>
                    </a:prstGeom>
                    <a:noFill/>
                    <a:ln>
                      <a:noFill/>
                    </a:ln>
                  </pic:spPr>
                </pic:pic>
              </a:graphicData>
            </a:graphic>
          </wp:anchor>
        </w:drawing>
      </w:r>
    </w:p>
    <w:p>
      <w:pPr>
        <w:spacing w:line="600" w:lineRule="exact"/>
        <w:ind w:firstLine="640" w:firstLineChars="200"/>
        <w:outlineLvl w:val="1"/>
        <w:rPr>
          <w:rStyle w:val="26"/>
          <w:rFonts w:ascii="黑体" w:hAnsi="黑体" w:eastAsia="黑体"/>
          <w:b w:val="0"/>
        </w:rPr>
      </w:pPr>
      <w:bookmarkStart w:id="37" w:name="_Toc15377208"/>
      <w:bookmarkStart w:id="38" w:name="_Toc15396606"/>
      <w:bookmarkStart w:id="39" w:name="_Toc31844"/>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7"/>
      <w:bookmarkEnd w:id="38"/>
      <w:bookmarkEnd w:id="3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年财政拨款收入总计</w:t>
      </w:r>
      <w:r>
        <w:rPr>
          <w:rFonts w:hint="eastAsia" w:ascii="仿宋" w:hAnsi="仿宋" w:eastAsia="仿宋"/>
          <w:color w:val="000000"/>
          <w:sz w:val="32"/>
          <w:szCs w:val="32"/>
          <w:lang w:val="en-US" w:eastAsia="zh-CN"/>
        </w:rPr>
        <w:t>1675.83</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年相比，财政拨款收入总计</w:t>
      </w:r>
      <w:r>
        <w:rPr>
          <w:rFonts w:hint="eastAsia" w:ascii="仿宋" w:hAnsi="仿宋" w:eastAsia="仿宋"/>
          <w:color w:val="000000"/>
          <w:sz w:val="32"/>
          <w:szCs w:val="32"/>
          <w:lang w:eastAsia="zh-CN"/>
        </w:rPr>
        <w:t>减少</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34.35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12.27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转隶</w:t>
      </w:r>
      <w:r>
        <w:rPr>
          <w:rFonts w:hint="eastAsia" w:ascii="仿宋" w:hAnsi="仿宋" w:eastAsia="仿宋"/>
          <w:color w:val="000000"/>
          <w:sz w:val="32"/>
          <w:szCs w:val="32"/>
        </w:rPr>
        <w:t>公务员</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人</w:t>
      </w:r>
      <w:r>
        <w:rPr>
          <w:rFonts w:hint="eastAsia" w:ascii="仿宋" w:hAnsi="仿宋" w:eastAsia="仿宋"/>
          <w:color w:val="000000"/>
          <w:sz w:val="32"/>
          <w:szCs w:val="32"/>
          <w:lang w:eastAsia="zh-CN"/>
        </w:rPr>
        <w:t>、调动公务员</w:t>
      </w:r>
      <w:r>
        <w:rPr>
          <w:rFonts w:hint="eastAsia" w:ascii="仿宋" w:hAnsi="仿宋" w:eastAsia="仿宋"/>
          <w:color w:val="000000"/>
          <w:sz w:val="32"/>
          <w:szCs w:val="32"/>
          <w:lang w:val="en-US" w:eastAsia="zh-CN"/>
        </w:rPr>
        <w:t>1人</w:t>
      </w:r>
      <w:r>
        <w:rPr>
          <w:rFonts w:hint="eastAsia" w:ascii="仿宋" w:hAnsi="仿宋" w:eastAsia="仿宋"/>
          <w:color w:val="000000"/>
          <w:sz w:val="32"/>
          <w:szCs w:val="32"/>
          <w:lang w:eastAsia="zh-CN"/>
        </w:rPr>
        <w:t>至纪委</w:t>
      </w:r>
      <w:r>
        <w:rPr>
          <w:rFonts w:hint="eastAsia" w:ascii="仿宋" w:hAnsi="仿宋" w:eastAsia="仿宋"/>
          <w:color w:val="000000"/>
          <w:sz w:val="32"/>
          <w:szCs w:val="32"/>
        </w:rPr>
        <w:t>，</w:t>
      </w:r>
      <w:r>
        <w:rPr>
          <w:rFonts w:hint="eastAsia" w:ascii="仿宋" w:hAnsi="仿宋" w:eastAsia="仿宋"/>
          <w:color w:val="000000"/>
          <w:sz w:val="32"/>
          <w:szCs w:val="32"/>
          <w:lang w:eastAsia="zh-CN"/>
        </w:rPr>
        <w:t>退休</w:t>
      </w:r>
      <w:r>
        <w:rPr>
          <w:rFonts w:hint="eastAsia" w:ascii="仿宋" w:hAnsi="仿宋" w:eastAsia="仿宋"/>
          <w:color w:val="000000"/>
          <w:sz w:val="32"/>
          <w:szCs w:val="32"/>
          <w:lang w:val="en-US" w:eastAsia="zh-CN"/>
        </w:rPr>
        <w:t>1人。</w:t>
      </w:r>
    </w:p>
    <w:p>
      <w:pPr>
        <w:spacing w:line="600" w:lineRule="exact"/>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　　</w:t>
      </w:r>
      <w:r>
        <w:rPr>
          <w:rFonts w:ascii="仿宋" w:hAnsi="仿宋" w:eastAsia="仿宋"/>
          <w:color w:val="000000"/>
          <w:sz w:val="32"/>
          <w:szCs w:val="32"/>
        </w:rPr>
        <w:t>201</w:t>
      </w:r>
      <w:r>
        <w:rPr>
          <w:rFonts w:hint="eastAsia" w:ascii="仿宋" w:hAnsi="仿宋" w:eastAsia="仿宋"/>
          <w:color w:val="000000"/>
          <w:sz w:val="32"/>
          <w:szCs w:val="32"/>
          <w:lang w:eastAsia="zh-CN"/>
        </w:rPr>
        <w:t>９</w:t>
      </w:r>
      <w:r>
        <w:rPr>
          <w:rFonts w:hint="eastAsia" w:ascii="仿宋" w:hAnsi="仿宋" w:eastAsia="仿宋"/>
          <w:color w:val="000000"/>
          <w:sz w:val="32"/>
          <w:szCs w:val="32"/>
        </w:rPr>
        <w:t>年财政拨款支出总计</w:t>
      </w:r>
      <w:r>
        <w:rPr>
          <w:rFonts w:hint="eastAsia" w:ascii="仿宋" w:hAnsi="仿宋" w:eastAsia="仿宋"/>
          <w:color w:val="000000"/>
          <w:sz w:val="32"/>
          <w:szCs w:val="32"/>
          <w:lang w:val="en-US" w:eastAsia="zh-CN"/>
        </w:rPr>
        <w:t>1675.83</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年相比，财政拨款</w:t>
      </w:r>
      <w:r>
        <w:rPr>
          <w:rFonts w:hint="eastAsia" w:ascii="仿宋" w:hAnsi="仿宋" w:eastAsia="仿宋"/>
          <w:color w:val="000000"/>
          <w:sz w:val="32"/>
          <w:szCs w:val="32"/>
          <w:lang w:eastAsia="zh-CN"/>
        </w:rPr>
        <w:t>支出</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减少</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34.35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12.27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转隶</w:t>
      </w:r>
      <w:r>
        <w:rPr>
          <w:rFonts w:hint="eastAsia" w:ascii="仿宋" w:hAnsi="仿宋" w:eastAsia="仿宋"/>
          <w:color w:val="000000"/>
          <w:sz w:val="32"/>
          <w:szCs w:val="32"/>
        </w:rPr>
        <w:t>公务员</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人</w:t>
      </w:r>
      <w:r>
        <w:rPr>
          <w:rFonts w:hint="eastAsia" w:ascii="仿宋" w:hAnsi="仿宋" w:eastAsia="仿宋"/>
          <w:color w:val="000000"/>
          <w:sz w:val="32"/>
          <w:szCs w:val="32"/>
          <w:lang w:eastAsia="zh-CN"/>
        </w:rPr>
        <w:t>、调动公务员</w:t>
      </w:r>
      <w:r>
        <w:rPr>
          <w:rFonts w:hint="eastAsia" w:ascii="仿宋" w:hAnsi="仿宋" w:eastAsia="仿宋"/>
          <w:color w:val="000000"/>
          <w:sz w:val="32"/>
          <w:szCs w:val="32"/>
          <w:lang w:val="en-US" w:eastAsia="zh-CN"/>
        </w:rPr>
        <w:t>1人</w:t>
      </w:r>
      <w:r>
        <w:rPr>
          <w:rFonts w:hint="eastAsia" w:ascii="仿宋" w:hAnsi="仿宋" w:eastAsia="仿宋"/>
          <w:color w:val="000000"/>
          <w:sz w:val="32"/>
          <w:szCs w:val="32"/>
          <w:lang w:eastAsia="zh-CN"/>
        </w:rPr>
        <w:t>至纪委</w:t>
      </w:r>
      <w:r>
        <w:rPr>
          <w:rFonts w:hint="eastAsia" w:ascii="仿宋" w:hAnsi="仿宋" w:eastAsia="仿宋"/>
          <w:color w:val="000000"/>
          <w:sz w:val="32"/>
          <w:szCs w:val="32"/>
        </w:rPr>
        <w:t>，</w:t>
      </w:r>
      <w:r>
        <w:rPr>
          <w:rFonts w:hint="eastAsia" w:ascii="仿宋" w:hAnsi="仿宋" w:eastAsia="仿宋"/>
          <w:color w:val="000000"/>
          <w:sz w:val="32"/>
          <w:szCs w:val="32"/>
          <w:lang w:eastAsia="zh-CN"/>
        </w:rPr>
        <w:t>退休</w:t>
      </w:r>
      <w:r>
        <w:rPr>
          <w:rFonts w:hint="eastAsia" w:ascii="仿宋" w:hAnsi="仿宋" w:eastAsia="仿宋"/>
          <w:color w:val="000000"/>
          <w:sz w:val="32"/>
          <w:szCs w:val="32"/>
          <w:lang w:val="en-US" w:eastAsia="zh-CN"/>
        </w:rPr>
        <w:t>1人。</w:t>
      </w:r>
    </w:p>
    <w:p>
      <w:pPr>
        <w:spacing w:line="600" w:lineRule="exact"/>
        <w:rPr>
          <w:rFonts w:hint="eastAsia" w:ascii="仿宋" w:hAnsi="仿宋" w:eastAsia="仿宋"/>
          <w:color w:val="000000"/>
          <w:sz w:val="32"/>
          <w:szCs w:val="32"/>
          <w:lang w:val="en-US" w:eastAsia="zh-CN"/>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r>
        <w:drawing>
          <wp:anchor distT="0" distB="0" distL="114300" distR="114300" simplePos="0" relativeHeight="251661312" behindDoc="0" locked="0" layoutInCell="1" allowOverlap="1">
            <wp:simplePos x="0" y="0"/>
            <wp:positionH relativeFrom="column">
              <wp:posOffset>968375</wp:posOffset>
            </wp:positionH>
            <wp:positionV relativeFrom="paragraph">
              <wp:posOffset>142875</wp:posOffset>
            </wp:positionV>
            <wp:extent cx="3848100" cy="2562225"/>
            <wp:effectExtent l="0" t="0" r="0" b="9525"/>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3848100" cy="2562225"/>
                    </a:xfrm>
                    <a:prstGeom prst="rect">
                      <a:avLst/>
                    </a:prstGeom>
                    <a:noFill/>
                    <a:ln>
                      <a:noFill/>
                    </a:ln>
                  </pic:spPr>
                </pic:pic>
              </a:graphicData>
            </a:graphic>
          </wp:anchor>
        </w:drawing>
      </w:r>
    </w:p>
    <w:p>
      <w:pPr>
        <w:spacing w:line="600" w:lineRule="exact"/>
        <w:ind w:firstLine="640" w:firstLineChars="200"/>
        <w:outlineLvl w:val="1"/>
        <w:rPr>
          <w:rStyle w:val="26"/>
          <w:rFonts w:ascii="黑体" w:hAnsi="黑体" w:eastAsia="黑体"/>
          <w:b w:val="0"/>
        </w:rPr>
      </w:pPr>
      <w:bookmarkStart w:id="40" w:name="_Toc15377209"/>
      <w:bookmarkStart w:id="41" w:name="_Toc23275"/>
      <w:bookmarkStart w:id="42"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40"/>
      <w:bookmarkEnd w:id="41"/>
      <w:bookmarkEnd w:id="42"/>
    </w:p>
    <w:p>
      <w:pPr>
        <w:spacing w:line="600" w:lineRule="exact"/>
        <w:ind w:firstLine="643" w:firstLineChars="200"/>
        <w:outlineLvl w:val="2"/>
        <w:rPr>
          <w:rFonts w:ascii="仿宋" w:hAnsi="仿宋" w:eastAsia="仿宋"/>
          <w:b/>
          <w:color w:val="000000"/>
          <w:sz w:val="32"/>
          <w:szCs w:val="32"/>
        </w:rPr>
      </w:pPr>
      <w:bookmarkStart w:id="43" w:name="_Toc15377210"/>
      <w:r>
        <w:rPr>
          <w:rFonts w:hint="eastAsia" w:ascii="仿宋" w:hAnsi="仿宋" w:eastAsia="仿宋"/>
          <w:b/>
          <w:color w:val="000000"/>
          <w:sz w:val="32"/>
          <w:szCs w:val="32"/>
        </w:rPr>
        <w:t>（一）一般公共预算财政拨款支出决算总体情况</w:t>
      </w:r>
      <w:bookmarkEnd w:id="43"/>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1675.83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w:t>
      </w:r>
      <w:r>
        <w:rPr>
          <w:rFonts w:hint="eastAsia" w:ascii="仿宋" w:hAnsi="仿宋" w:eastAsia="仿宋"/>
          <w:color w:val="000000"/>
          <w:sz w:val="32"/>
          <w:szCs w:val="32"/>
          <w:lang w:eastAsia="zh-CN"/>
        </w:rPr>
        <w:t>减少</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34.35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12.27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转隶</w:t>
      </w:r>
      <w:r>
        <w:rPr>
          <w:rFonts w:hint="eastAsia" w:ascii="仿宋" w:hAnsi="仿宋" w:eastAsia="仿宋"/>
          <w:color w:val="000000"/>
          <w:sz w:val="32"/>
          <w:szCs w:val="32"/>
        </w:rPr>
        <w:t>公务员</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人</w:t>
      </w:r>
      <w:r>
        <w:rPr>
          <w:rFonts w:hint="eastAsia" w:ascii="仿宋" w:hAnsi="仿宋" w:eastAsia="仿宋"/>
          <w:color w:val="000000"/>
          <w:sz w:val="32"/>
          <w:szCs w:val="32"/>
          <w:lang w:eastAsia="zh-CN"/>
        </w:rPr>
        <w:t>、调动公务员</w:t>
      </w:r>
      <w:r>
        <w:rPr>
          <w:rFonts w:hint="eastAsia" w:ascii="仿宋" w:hAnsi="仿宋" w:eastAsia="仿宋"/>
          <w:color w:val="000000"/>
          <w:sz w:val="32"/>
          <w:szCs w:val="32"/>
          <w:lang w:val="en-US" w:eastAsia="zh-CN"/>
        </w:rPr>
        <w:t>1人</w:t>
      </w:r>
      <w:r>
        <w:rPr>
          <w:rFonts w:hint="eastAsia" w:ascii="仿宋" w:hAnsi="仿宋" w:eastAsia="仿宋"/>
          <w:color w:val="000000"/>
          <w:sz w:val="32"/>
          <w:szCs w:val="32"/>
          <w:lang w:eastAsia="zh-CN"/>
        </w:rPr>
        <w:t>至纪委</w:t>
      </w:r>
      <w:r>
        <w:rPr>
          <w:rFonts w:hint="eastAsia" w:ascii="仿宋" w:hAnsi="仿宋" w:eastAsia="仿宋"/>
          <w:color w:val="000000"/>
          <w:sz w:val="32"/>
          <w:szCs w:val="32"/>
        </w:rPr>
        <w:t>，</w:t>
      </w:r>
      <w:r>
        <w:rPr>
          <w:rFonts w:hint="eastAsia" w:ascii="仿宋" w:hAnsi="仿宋" w:eastAsia="仿宋"/>
          <w:color w:val="000000"/>
          <w:sz w:val="32"/>
          <w:szCs w:val="32"/>
          <w:lang w:eastAsia="zh-CN"/>
        </w:rPr>
        <w:t>退休</w:t>
      </w:r>
      <w:r>
        <w:rPr>
          <w:rFonts w:hint="eastAsia" w:ascii="仿宋" w:hAnsi="仿宋" w:eastAsia="仿宋"/>
          <w:color w:val="000000"/>
          <w:sz w:val="32"/>
          <w:szCs w:val="32"/>
          <w:lang w:val="en-US" w:eastAsia="zh-CN"/>
        </w:rPr>
        <w:t>1人。</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color w:val="000000" w:themeColor="text1"/>
          <w:sz w:val="32"/>
          <w:szCs w:val="32"/>
        </w:rPr>
      </w:pPr>
    </w:p>
    <w:p>
      <w:pPr>
        <w:spacing w:line="600" w:lineRule="exact"/>
        <w:ind w:firstLine="420" w:firstLineChars="200"/>
        <w:rPr>
          <w:rFonts w:ascii="仿宋" w:hAnsi="仿宋" w:eastAsia="仿宋"/>
          <w:color w:val="000000" w:themeColor="text1"/>
          <w:sz w:val="32"/>
          <w:szCs w:val="32"/>
        </w:rPr>
      </w:pPr>
      <w:bookmarkStart w:id="105" w:name="_GoBack"/>
      <w:r>
        <w:drawing>
          <wp:anchor distT="0" distB="0" distL="114300" distR="114300" simplePos="0" relativeHeight="251662336" behindDoc="0" locked="0" layoutInCell="1" allowOverlap="1">
            <wp:simplePos x="0" y="0"/>
            <wp:positionH relativeFrom="column">
              <wp:posOffset>942975</wp:posOffset>
            </wp:positionH>
            <wp:positionV relativeFrom="paragraph">
              <wp:posOffset>142875</wp:posOffset>
            </wp:positionV>
            <wp:extent cx="3476625" cy="2357755"/>
            <wp:effectExtent l="0" t="0" r="9525" b="4445"/>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3476625" cy="2357755"/>
                    </a:xfrm>
                    <a:prstGeom prst="rect">
                      <a:avLst/>
                    </a:prstGeom>
                    <a:noFill/>
                    <a:ln>
                      <a:noFill/>
                    </a:ln>
                  </pic:spPr>
                </pic:pic>
              </a:graphicData>
            </a:graphic>
          </wp:anchor>
        </w:drawing>
      </w:r>
      <w:bookmarkEnd w:id="105"/>
    </w:p>
    <w:p>
      <w:pPr>
        <w:spacing w:line="600" w:lineRule="exact"/>
        <w:ind w:firstLine="643" w:firstLineChars="200"/>
        <w:outlineLvl w:val="2"/>
        <w:rPr>
          <w:rFonts w:ascii="仿宋" w:hAnsi="仿宋" w:eastAsia="仿宋"/>
          <w:b/>
          <w:color w:val="000000"/>
          <w:sz w:val="32"/>
          <w:szCs w:val="32"/>
        </w:rPr>
      </w:pPr>
      <w:bookmarkStart w:id="44" w:name="_Toc15377211"/>
      <w:r>
        <w:rPr>
          <w:rFonts w:hint="eastAsia" w:ascii="仿宋" w:hAnsi="仿宋" w:eastAsia="仿宋"/>
          <w:b/>
          <w:color w:val="000000"/>
          <w:sz w:val="32"/>
          <w:szCs w:val="32"/>
        </w:rPr>
        <w:t>（二）一般公共预算财政拨款支出决算结构情况</w:t>
      </w:r>
      <w:bookmarkEnd w:id="44"/>
    </w:p>
    <w:p>
      <w:pPr>
        <w:spacing w:line="600" w:lineRule="exact"/>
        <w:ind w:firstLine="640"/>
        <w:rPr>
          <w:rFonts w:hint="eastAsia"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1675.83</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公共安全支出（类）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1412.89</w:t>
      </w:r>
      <w:r>
        <w:rPr>
          <w:rFonts w:hint="eastAsia" w:ascii="仿宋" w:hAnsi="仿宋" w:eastAsia="仿宋"/>
          <w:color w:val="000000" w:themeColor="text1"/>
          <w:sz w:val="32"/>
          <w:szCs w:val="32"/>
        </w:rPr>
        <w:t>万元，占8</w:t>
      </w:r>
      <w:r>
        <w:rPr>
          <w:rFonts w:hint="eastAsia" w:ascii="仿宋" w:hAnsi="仿宋" w:eastAsia="仿宋"/>
          <w:color w:val="000000" w:themeColor="text1"/>
          <w:sz w:val="32"/>
          <w:szCs w:val="32"/>
          <w:lang w:val="en-US" w:eastAsia="zh-CN"/>
        </w:rPr>
        <w:t>4.31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147.78</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8.82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lang w:eastAsia="zh-CN"/>
        </w:rPr>
        <w:t>卫生健康支出</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29.84</w:t>
      </w:r>
      <w:r>
        <w:rPr>
          <w:rFonts w:hint="eastAsia" w:ascii="仿宋" w:hAnsi="仿宋" w:eastAsia="仿宋"/>
          <w:color w:val="000000" w:themeColor="text1"/>
          <w:sz w:val="32"/>
          <w:szCs w:val="32"/>
        </w:rPr>
        <w:t>万元，占1.</w:t>
      </w:r>
      <w:r>
        <w:rPr>
          <w:rFonts w:hint="eastAsia" w:ascii="仿宋" w:hAnsi="仿宋" w:eastAsia="仿宋"/>
          <w:color w:val="000000" w:themeColor="text1"/>
          <w:sz w:val="32"/>
          <w:szCs w:val="32"/>
          <w:lang w:val="en-US" w:eastAsia="zh-CN"/>
        </w:rPr>
        <w:t>78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住房保障支出（类）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85.32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5.09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rPr>
          <w:rFonts w:hint="eastAsia" w:ascii="仿宋" w:hAnsi="仿宋" w:eastAsia="仿宋"/>
          <w:color w:val="000000" w:themeColor="text1"/>
          <w:sz w:val="32"/>
          <w:szCs w:val="32"/>
        </w:rPr>
      </w:pPr>
    </w:p>
    <w:p>
      <w:pPr>
        <w:spacing w:line="600" w:lineRule="exact"/>
        <w:rPr>
          <w:rFonts w:hint="eastAsia" w:ascii="仿宋" w:hAnsi="仿宋" w:eastAsia="仿宋"/>
          <w:color w:val="000000"/>
          <w:sz w:val="32"/>
          <w:szCs w:val="32"/>
        </w:rPr>
      </w:pPr>
      <w:bookmarkStart w:id="45" w:name="_Toc15377212"/>
      <w:r>
        <w:rPr>
          <w:rFonts w:hint="eastAsia" w:ascii="仿宋" w:hAnsi="仿宋" w:eastAsia="仿宋"/>
          <w:color w:val="000000"/>
          <w:sz w:val="32"/>
          <w:szCs w:val="32"/>
        </w:rPr>
        <w:t>（图6：一般公共预算财政拨款支出决算结构）（饼状图）</w:t>
      </w:r>
    </w:p>
    <w:p>
      <w:pPr>
        <w:spacing w:line="600" w:lineRule="exact"/>
        <w:ind w:firstLine="420" w:firstLineChars="200"/>
        <w:rPr>
          <w:rFonts w:hint="eastAsia" w:ascii="仿宋" w:hAnsi="仿宋" w:eastAsia="仿宋"/>
          <w:b/>
          <w:color w:val="000000"/>
          <w:sz w:val="32"/>
          <w:szCs w:val="32"/>
        </w:rPr>
      </w:pPr>
      <w:r>
        <w:drawing>
          <wp:anchor distT="0" distB="0" distL="114300" distR="114300" simplePos="0" relativeHeight="251663360" behindDoc="0" locked="0" layoutInCell="1" allowOverlap="1">
            <wp:simplePos x="0" y="0"/>
            <wp:positionH relativeFrom="column">
              <wp:posOffset>609600</wp:posOffset>
            </wp:positionH>
            <wp:positionV relativeFrom="paragraph">
              <wp:posOffset>180975</wp:posOffset>
            </wp:positionV>
            <wp:extent cx="4505325" cy="2466975"/>
            <wp:effectExtent l="0" t="0" r="9525" b="9525"/>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tretch>
                      <a:fillRect/>
                    </a:stretch>
                  </pic:blipFill>
                  <pic:spPr>
                    <a:xfrm>
                      <a:off x="0" y="0"/>
                      <a:ext cx="4505325" cy="2466975"/>
                    </a:xfrm>
                    <a:prstGeom prst="rect">
                      <a:avLst/>
                    </a:prstGeom>
                    <a:noFill/>
                    <a:ln>
                      <a:noFill/>
                    </a:ln>
                  </pic:spPr>
                </pic:pic>
              </a:graphicData>
            </a:graphic>
          </wp:anchor>
        </w:drawing>
      </w: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45"/>
    </w:p>
    <w:p>
      <w:pPr>
        <w:spacing w:line="600" w:lineRule="exact"/>
        <w:ind w:firstLine="643" w:firstLineChars="200"/>
        <w:outlineLvl w:val="9"/>
        <w:rPr>
          <w:rFonts w:ascii="仿宋" w:hAnsi="仿宋" w:eastAsia="仿宋"/>
          <w:color w:val="FF0000"/>
          <w:sz w:val="32"/>
          <w:szCs w:val="32"/>
        </w:rPr>
      </w:pPr>
      <w:bookmarkStart w:id="46" w:name="_Toc15377213"/>
      <w:bookmarkStart w:id="47" w:name="_Toc15377444"/>
      <w:bookmarkStart w:id="48" w:name="_Toc15378460"/>
      <w:r>
        <w:rPr>
          <w:rFonts w:hint="eastAsia" w:ascii="仿宋" w:hAnsi="仿宋" w:eastAsia="仿宋"/>
          <w:b/>
          <w:color w:val="000000" w:themeColor="text1"/>
          <w:sz w:val="32"/>
          <w:szCs w:val="32"/>
        </w:rPr>
        <w:t>2019年般公共预算支出决算数为</w:t>
      </w:r>
      <w:r>
        <w:rPr>
          <w:rFonts w:hint="eastAsia" w:ascii="仿宋" w:hAnsi="仿宋" w:eastAsia="仿宋"/>
          <w:b/>
          <w:color w:val="000000" w:themeColor="text1"/>
          <w:sz w:val="32"/>
          <w:szCs w:val="32"/>
          <w:lang w:val="en-US" w:eastAsia="zh-CN"/>
        </w:rPr>
        <w:t>1675.83</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46"/>
      <w:bookmarkEnd w:id="47"/>
      <w:bookmarkEnd w:id="48"/>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公共安全支出（类）检察（款）行政运行（项）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hint="eastAsia" w:ascii="仿宋" w:hAnsi="仿宋" w:eastAsia="仿宋"/>
          <w:b w:val="0"/>
          <w:bCs/>
          <w:color w:val="000000"/>
          <w:sz w:val="32"/>
          <w:szCs w:val="32"/>
          <w:lang w:val="en-US" w:eastAsia="zh-CN"/>
        </w:rPr>
        <w:t>1165.89</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 xml:space="preserve"> 公共安全支出（类）检察（款）一般行政管理事务（项）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 xml:space="preserve"> 支出决算为</w:t>
      </w:r>
      <w:r>
        <w:rPr>
          <w:rStyle w:val="15"/>
          <w:rFonts w:hint="eastAsia" w:ascii="仿宋" w:hAnsi="仿宋" w:eastAsia="仿宋"/>
          <w:b w:val="0"/>
          <w:bCs/>
          <w:color w:val="000000"/>
          <w:sz w:val="32"/>
          <w:szCs w:val="32"/>
          <w:lang w:val="en-US" w:eastAsia="zh-CN"/>
        </w:rPr>
        <w:t>207</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 xml:space="preserve"> 公共安全支出（类）检察（款）其他检察支出（项）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 xml:space="preserve"> 支出决算为</w:t>
      </w:r>
      <w:r>
        <w:rPr>
          <w:rStyle w:val="15"/>
          <w:rFonts w:hint="eastAsia" w:ascii="仿宋" w:hAnsi="仿宋" w:eastAsia="仿宋"/>
          <w:b w:val="0"/>
          <w:bCs/>
          <w:color w:val="000000"/>
          <w:sz w:val="32"/>
          <w:szCs w:val="32"/>
          <w:lang w:val="en-US" w:eastAsia="zh-CN"/>
        </w:rPr>
        <w:t>40</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4.</w:t>
      </w:r>
      <w:r>
        <w:rPr>
          <w:rFonts w:hint="eastAsia"/>
        </w:rPr>
        <w:t xml:space="preserve"> </w:t>
      </w:r>
      <w:r>
        <w:rPr>
          <w:rStyle w:val="15"/>
          <w:rFonts w:hint="eastAsia" w:ascii="仿宋" w:hAnsi="仿宋" w:eastAsia="仿宋"/>
          <w:bCs/>
          <w:color w:val="000000"/>
          <w:sz w:val="32"/>
          <w:szCs w:val="32"/>
        </w:rPr>
        <w:t>社会保障和就业支出（类）行政事业单位离退休（款）机关事业单位基本养老保险缴费支出（项）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 xml:space="preserve"> 支出决算为</w:t>
      </w:r>
      <w:r>
        <w:rPr>
          <w:rStyle w:val="15"/>
          <w:rFonts w:hint="eastAsia" w:ascii="仿宋" w:hAnsi="仿宋" w:eastAsia="仿宋"/>
          <w:b w:val="0"/>
          <w:bCs/>
          <w:color w:val="000000"/>
          <w:sz w:val="32"/>
          <w:szCs w:val="32"/>
          <w:lang w:val="en-US" w:eastAsia="zh-CN"/>
        </w:rPr>
        <w:t>78.69</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 xml:space="preserve"> 社会保障和就业支出（类）行政事业单位离退休（款）  机关事业单位职业年金缴费支出（项）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 xml:space="preserve"> 支出决算为</w:t>
      </w:r>
      <w:r>
        <w:rPr>
          <w:rStyle w:val="15"/>
          <w:rFonts w:hint="eastAsia" w:ascii="仿宋" w:hAnsi="仿宋" w:eastAsia="仿宋"/>
          <w:b w:val="0"/>
          <w:bCs/>
          <w:color w:val="000000"/>
          <w:sz w:val="32"/>
          <w:szCs w:val="32"/>
          <w:lang w:val="en-US" w:eastAsia="zh-CN"/>
        </w:rPr>
        <w:t>35.53</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6.</w:t>
      </w:r>
      <w:r>
        <w:rPr>
          <w:rStyle w:val="15"/>
          <w:rFonts w:hint="eastAsia" w:ascii="仿宋" w:hAnsi="仿宋" w:eastAsia="仿宋"/>
          <w:bCs/>
          <w:color w:val="000000"/>
          <w:sz w:val="32"/>
          <w:szCs w:val="32"/>
        </w:rPr>
        <w:t xml:space="preserve"> 社会保障和就业支出（类）行政事业单位离退休（款）其他行政事业单位离退休支出（项）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 xml:space="preserve"> 支出决算为</w:t>
      </w:r>
      <w:r>
        <w:rPr>
          <w:rStyle w:val="15"/>
          <w:rFonts w:hint="eastAsia" w:ascii="仿宋" w:hAnsi="仿宋" w:eastAsia="仿宋"/>
          <w:b w:val="0"/>
          <w:bCs/>
          <w:color w:val="000000"/>
          <w:sz w:val="32"/>
          <w:szCs w:val="32"/>
          <w:lang w:val="en-US" w:eastAsia="zh-CN"/>
        </w:rPr>
        <w:t>33.08</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7</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 xml:space="preserve"> 社会保障和就业支出（类）</w:t>
      </w:r>
      <w:r>
        <w:rPr>
          <w:rStyle w:val="15"/>
          <w:rFonts w:hint="eastAsia" w:ascii="仿宋" w:hAnsi="仿宋" w:eastAsia="仿宋"/>
          <w:bCs/>
          <w:color w:val="000000"/>
          <w:sz w:val="32"/>
          <w:szCs w:val="32"/>
          <w:lang w:eastAsia="zh-CN"/>
        </w:rPr>
        <w:t>其他</w:t>
      </w:r>
      <w:r>
        <w:rPr>
          <w:rStyle w:val="15"/>
          <w:rFonts w:hint="eastAsia" w:ascii="仿宋" w:hAnsi="仿宋" w:eastAsia="仿宋"/>
          <w:bCs/>
          <w:color w:val="000000"/>
          <w:sz w:val="32"/>
          <w:szCs w:val="32"/>
        </w:rPr>
        <w:t>社会保障和就业支出（款）</w:t>
      </w:r>
      <w:r>
        <w:rPr>
          <w:rStyle w:val="15"/>
          <w:rFonts w:hint="eastAsia" w:ascii="仿宋" w:hAnsi="仿宋" w:eastAsia="仿宋"/>
          <w:bCs/>
          <w:color w:val="000000"/>
          <w:sz w:val="32"/>
          <w:szCs w:val="32"/>
          <w:lang w:eastAsia="zh-CN"/>
        </w:rPr>
        <w:t>其他</w:t>
      </w:r>
      <w:r>
        <w:rPr>
          <w:rStyle w:val="15"/>
          <w:rFonts w:hint="eastAsia" w:ascii="仿宋" w:hAnsi="仿宋" w:eastAsia="仿宋"/>
          <w:bCs/>
          <w:color w:val="000000"/>
          <w:sz w:val="32"/>
          <w:szCs w:val="32"/>
        </w:rPr>
        <w:t>社会保障和就业支出（项）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 xml:space="preserve"> 支出决算为</w:t>
      </w:r>
      <w:r>
        <w:rPr>
          <w:rStyle w:val="15"/>
          <w:rFonts w:hint="eastAsia" w:ascii="仿宋" w:hAnsi="仿宋" w:eastAsia="仿宋"/>
          <w:b w:val="0"/>
          <w:bCs/>
          <w:color w:val="000000"/>
          <w:sz w:val="32"/>
          <w:szCs w:val="32"/>
          <w:lang w:val="en-US" w:eastAsia="zh-CN"/>
        </w:rPr>
        <w:t>0.48</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52"/>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8</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 xml:space="preserve"> </w:t>
      </w:r>
      <w:r>
        <w:rPr>
          <w:rStyle w:val="15"/>
          <w:rFonts w:hint="eastAsia" w:ascii="仿宋" w:hAnsi="仿宋" w:eastAsia="仿宋"/>
          <w:bCs/>
          <w:color w:val="000000"/>
          <w:sz w:val="32"/>
          <w:szCs w:val="32"/>
          <w:lang w:eastAsia="zh-CN"/>
        </w:rPr>
        <w:t>卫生健康支出</w:t>
      </w:r>
      <w:r>
        <w:rPr>
          <w:rStyle w:val="15"/>
          <w:rFonts w:hint="eastAsia" w:ascii="仿宋" w:hAnsi="仿宋" w:eastAsia="仿宋"/>
          <w:bCs/>
          <w:color w:val="000000"/>
          <w:sz w:val="32"/>
          <w:szCs w:val="32"/>
        </w:rPr>
        <w:t>（类）行政事业单位医疗（款）行政单位医疗（项）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 xml:space="preserve"> 支出决算为</w:t>
      </w:r>
      <w:r>
        <w:rPr>
          <w:rStyle w:val="15"/>
          <w:rFonts w:hint="eastAsia" w:ascii="仿宋" w:hAnsi="仿宋" w:eastAsia="仿宋"/>
          <w:b w:val="0"/>
          <w:bCs/>
          <w:color w:val="000000"/>
          <w:sz w:val="32"/>
          <w:szCs w:val="32"/>
          <w:lang w:val="en-US" w:eastAsia="zh-CN"/>
        </w:rPr>
        <w:t>27.63</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rPr>
          <w:rStyle w:val="15"/>
          <w:rFonts w:hint="eastAsia" w:ascii="仿宋" w:hAnsi="仿宋" w:eastAsia="仿宋"/>
          <w:b w:val="0"/>
          <w:bCs/>
          <w:color w:val="000000"/>
          <w:sz w:val="32"/>
          <w:szCs w:val="32"/>
        </w:rPr>
      </w:pPr>
      <w:r>
        <w:rPr>
          <w:rStyle w:val="15"/>
          <w:rFonts w:hint="eastAsia" w:ascii="仿宋" w:hAnsi="仿宋" w:eastAsia="仿宋"/>
          <w:bCs/>
          <w:color w:val="000000"/>
          <w:sz w:val="32"/>
          <w:szCs w:val="32"/>
          <w:lang w:val="en-US" w:eastAsia="zh-CN"/>
        </w:rPr>
        <w:t>　　９</w:t>
      </w:r>
      <w:r>
        <w:rPr>
          <w:rStyle w:val="15"/>
          <w:rFonts w:ascii="仿宋" w:hAnsi="仿宋" w:eastAsia="仿宋"/>
          <w:bCs/>
          <w:color w:val="000000"/>
          <w:sz w:val="32"/>
          <w:szCs w:val="32"/>
        </w:rPr>
        <w:t>.</w:t>
      </w:r>
      <w:r>
        <w:rPr>
          <w:rStyle w:val="15"/>
          <w:rFonts w:hint="eastAsia" w:ascii="仿宋" w:hAnsi="仿宋" w:eastAsia="仿宋"/>
          <w:bCs/>
          <w:color w:val="000000"/>
          <w:sz w:val="32"/>
          <w:szCs w:val="32"/>
          <w:lang w:eastAsia="zh-CN"/>
        </w:rPr>
        <w:t>卫生健康支出</w:t>
      </w:r>
      <w:r>
        <w:rPr>
          <w:rStyle w:val="15"/>
          <w:rFonts w:hint="eastAsia" w:ascii="仿宋" w:hAnsi="仿宋" w:eastAsia="仿宋"/>
          <w:bCs/>
          <w:color w:val="000000"/>
          <w:sz w:val="32"/>
          <w:szCs w:val="32"/>
        </w:rPr>
        <w:t>（类）行政事业单位医疗（款）</w:t>
      </w:r>
      <w:r>
        <w:rPr>
          <w:rStyle w:val="15"/>
          <w:rFonts w:hint="eastAsia" w:ascii="仿宋" w:hAnsi="仿宋" w:eastAsia="仿宋"/>
          <w:bCs/>
          <w:color w:val="000000"/>
          <w:sz w:val="32"/>
          <w:szCs w:val="32"/>
          <w:lang w:eastAsia="zh-CN"/>
        </w:rPr>
        <w:t>事业</w:t>
      </w:r>
      <w:r>
        <w:rPr>
          <w:rStyle w:val="15"/>
          <w:rFonts w:hint="eastAsia" w:ascii="仿宋" w:hAnsi="仿宋" w:eastAsia="仿宋"/>
          <w:bCs/>
          <w:color w:val="000000"/>
          <w:sz w:val="32"/>
          <w:szCs w:val="32"/>
        </w:rPr>
        <w:t>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 xml:space="preserve"> 支出决算为</w:t>
      </w:r>
      <w:r>
        <w:rPr>
          <w:rStyle w:val="15"/>
          <w:rFonts w:hint="eastAsia" w:ascii="仿宋" w:hAnsi="仿宋" w:eastAsia="仿宋"/>
          <w:b w:val="0"/>
          <w:bCs/>
          <w:color w:val="000000"/>
          <w:sz w:val="32"/>
          <w:szCs w:val="32"/>
          <w:lang w:val="en-US" w:eastAsia="zh-CN"/>
        </w:rPr>
        <w:t>2.22</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lang w:val="en-US" w:eastAsia="zh-CN"/>
        </w:rPr>
        <w:t>10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 xml:space="preserve"> 住房保障支出（类）住房改革支出（款）住房公积金（项）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 xml:space="preserve"> 支出决算为</w:t>
      </w:r>
      <w:r>
        <w:rPr>
          <w:rStyle w:val="15"/>
          <w:rFonts w:hint="eastAsia" w:ascii="仿宋" w:hAnsi="仿宋" w:eastAsia="仿宋"/>
          <w:b w:val="0"/>
          <w:bCs/>
          <w:color w:val="000000"/>
          <w:sz w:val="32"/>
          <w:szCs w:val="32"/>
          <w:lang w:val="en-US" w:eastAsia="zh-CN"/>
        </w:rPr>
        <w:t>85.32</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6"/>
        </w:rPr>
      </w:pPr>
      <w:bookmarkStart w:id="49" w:name="_Toc15377214"/>
      <w:bookmarkStart w:id="50" w:name="_Toc28786"/>
      <w:bookmarkStart w:id="5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9"/>
      <w:bookmarkEnd w:id="50"/>
      <w:bookmarkEnd w:id="5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1428.83</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1285.44</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143.39</w:t>
      </w:r>
      <w:r>
        <w:rPr>
          <w:rFonts w:hint="eastAsia" w:ascii="仿宋" w:hAnsi="仿宋" w:eastAsia="仿宋"/>
          <w:color w:val="000000"/>
          <w:sz w:val="32"/>
          <w:szCs w:val="32"/>
        </w:rPr>
        <w:t>万元，主要包括：办公费、印刷费、咨询费、手续费、水费、电费、邮电费、物业管理费、差旅费、维修（护）费、租赁费、会议费、培训费、公务接待费、劳务费、工会经费、福利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52" w:name="_Toc15377215"/>
      <w:bookmarkStart w:id="53" w:name="_Toc31990"/>
      <w:bookmarkStart w:id="54"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52"/>
      <w:bookmarkEnd w:id="53"/>
      <w:bookmarkEnd w:id="54"/>
    </w:p>
    <w:p>
      <w:pPr>
        <w:spacing w:line="600" w:lineRule="exact"/>
        <w:ind w:firstLine="640"/>
        <w:outlineLvl w:val="2"/>
        <w:rPr>
          <w:rFonts w:ascii="仿宋" w:hAnsi="仿宋" w:eastAsia="仿宋"/>
          <w:b/>
          <w:color w:val="000000"/>
          <w:sz w:val="32"/>
          <w:szCs w:val="32"/>
        </w:rPr>
      </w:pPr>
      <w:bookmarkStart w:id="55" w:name="_Toc15377216"/>
      <w:r>
        <w:rPr>
          <w:rFonts w:hint="eastAsia" w:ascii="仿宋" w:hAnsi="仿宋" w:eastAsia="仿宋"/>
          <w:b/>
          <w:color w:val="000000"/>
          <w:sz w:val="32"/>
          <w:szCs w:val="32"/>
        </w:rPr>
        <w:t>（一）“三公”经费财政拨款支出决算总体情况说明</w:t>
      </w:r>
      <w:bookmarkEnd w:id="5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9.08</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90.26</w:t>
      </w:r>
      <w:r>
        <w:rPr>
          <w:rFonts w:ascii="仿宋" w:hAnsi="仿宋" w:eastAsia="仿宋"/>
          <w:color w:val="000000"/>
          <w:sz w:val="32"/>
          <w:szCs w:val="32"/>
        </w:rPr>
        <w:t>%</w:t>
      </w:r>
      <w:r>
        <w:rPr>
          <w:rFonts w:hint="eastAsia" w:ascii="仿宋" w:hAnsi="仿宋" w:eastAsia="仿宋"/>
          <w:color w:val="000000"/>
          <w:sz w:val="32"/>
          <w:szCs w:val="32"/>
        </w:rPr>
        <w:t>，决算数小于预算数（或与预算数持平）的主要原因是单位加强管理，严格控制经费使用。</w:t>
      </w:r>
    </w:p>
    <w:p>
      <w:pPr>
        <w:spacing w:line="600" w:lineRule="exact"/>
        <w:ind w:firstLine="640"/>
        <w:outlineLvl w:val="2"/>
        <w:rPr>
          <w:rFonts w:ascii="仿宋" w:hAnsi="仿宋" w:eastAsia="仿宋"/>
          <w:b/>
          <w:color w:val="000000"/>
          <w:sz w:val="32"/>
          <w:szCs w:val="32"/>
        </w:rPr>
      </w:pPr>
      <w:bookmarkStart w:id="56" w:name="_Toc15377217"/>
      <w:r>
        <w:rPr>
          <w:rFonts w:hint="eastAsia" w:ascii="仿宋" w:hAnsi="仿宋" w:eastAsia="仿宋"/>
          <w:b/>
          <w:color w:val="000000"/>
          <w:sz w:val="32"/>
          <w:szCs w:val="32"/>
        </w:rPr>
        <w:t>（二）“三公”经费财政拨款支出决算具体情况说明</w:t>
      </w:r>
      <w:bookmarkEnd w:id="5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70528" behindDoc="0" locked="0" layoutInCell="1" allowOverlap="1">
            <wp:simplePos x="0" y="0"/>
            <wp:positionH relativeFrom="column">
              <wp:posOffset>533400</wp:posOffset>
            </wp:positionH>
            <wp:positionV relativeFrom="paragraph">
              <wp:posOffset>85725</wp:posOffset>
            </wp:positionV>
            <wp:extent cx="4377055" cy="1790700"/>
            <wp:effectExtent l="0" t="0" r="4445" b="0"/>
            <wp:wrapTopAndBottom/>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2"/>
                    <a:srcRect/>
                    <a:stretch>
                      <a:fillRect/>
                    </a:stretch>
                  </pic:blipFill>
                  <pic:spPr>
                    <a:xfrm>
                      <a:off x="0" y="0"/>
                      <a:ext cx="4377055" cy="1790700"/>
                    </a:xfrm>
                    <a:prstGeom prst="rect">
                      <a:avLst/>
                    </a:prstGeom>
                    <a:noFill/>
                  </pic:spPr>
                </pic:pic>
              </a:graphicData>
            </a:graphic>
          </wp:anchor>
        </w:drawing>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9.08</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90.26</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0.51</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5.32</w:t>
      </w:r>
      <w:r>
        <w:rPr>
          <w:rFonts w:ascii="仿宋_GB2312" w:eastAsia="仿宋_GB2312"/>
          <w:color w:val="000000"/>
          <w:sz w:val="32"/>
          <w:szCs w:val="32"/>
        </w:rPr>
        <w:t>%</w:t>
      </w:r>
      <w:r>
        <w:rPr>
          <w:rFonts w:hint="eastAsia" w:ascii="仿宋_GB2312" w:eastAsia="仿宋_GB2312"/>
          <w:color w:val="000000"/>
          <w:sz w:val="32"/>
          <w:szCs w:val="32"/>
        </w:rPr>
        <w:t>。主要原因是单位加强管理，严格控制经费使用。其中：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9.08</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78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931</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9.08</w:t>
      </w:r>
      <w:r>
        <w:rPr>
          <w:rFonts w:hint="eastAsia" w:ascii="仿宋_GB2312" w:eastAsia="仿宋_GB2312"/>
          <w:color w:val="000000"/>
          <w:sz w:val="32"/>
          <w:szCs w:val="32"/>
        </w:rPr>
        <w:t>万元，具体内容包括：办案接洽接待6.73万元，上级机关检查调研1.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8万元，其他省市机关交流</w:t>
      </w:r>
      <w:r>
        <w:rPr>
          <w:rFonts w:hint="eastAsia" w:ascii="仿宋_GB2312" w:eastAsia="仿宋_GB2312"/>
          <w:color w:val="000000"/>
          <w:sz w:val="32"/>
          <w:szCs w:val="32"/>
          <w:lang w:val="en-US" w:eastAsia="zh-CN"/>
        </w:rPr>
        <w:t>0.97</w:t>
      </w:r>
      <w:r>
        <w:rPr>
          <w:rFonts w:hint="eastAsia" w:ascii="仿宋_GB2312" w:eastAsia="仿宋_GB2312"/>
          <w:color w:val="000000"/>
          <w:sz w:val="32"/>
          <w:szCs w:val="32"/>
        </w:rPr>
        <w:t>万元。</w:t>
      </w:r>
    </w:p>
    <w:p>
      <w:pPr>
        <w:spacing w:line="600" w:lineRule="exact"/>
        <w:ind w:firstLine="643" w:firstLineChars="200"/>
        <w:rPr>
          <w:rFonts w:hint="eastAsia" w:ascii="仿宋_GB2312" w:eastAsia="仿宋_GB2312"/>
          <w:color w:val="000000" w:themeColor="text1"/>
          <w:sz w:val="32"/>
          <w:szCs w:val="32"/>
          <w:lang w:val="en-US"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w:t>
      </w:r>
      <w:r>
        <w:rPr>
          <w:rFonts w:hint="eastAsia" w:ascii="仿宋_GB2312" w:eastAsia="仿宋_GB2312"/>
          <w:color w:val="000000" w:themeColor="text1"/>
          <w:sz w:val="32"/>
          <w:szCs w:val="32"/>
          <w:lang w:eastAsia="zh-CN"/>
        </w:rPr>
        <w:t>。</w:t>
      </w:r>
    </w:p>
    <w:p>
      <w:pPr>
        <w:spacing w:line="600" w:lineRule="exact"/>
        <w:ind w:firstLine="640"/>
        <w:outlineLvl w:val="9"/>
        <w:rPr>
          <w:rFonts w:ascii="黑体" w:eastAsia="黑体"/>
          <w:color w:val="000000"/>
          <w:sz w:val="32"/>
          <w:szCs w:val="32"/>
        </w:rPr>
      </w:pPr>
      <w:bookmarkStart w:id="57" w:name="_Toc15396610"/>
      <w:bookmarkStart w:id="58" w:name="_Toc15377218"/>
    </w:p>
    <w:p>
      <w:pPr>
        <w:spacing w:line="600" w:lineRule="exact"/>
        <w:ind w:firstLine="640"/>
        <w:outlineLvl w:val="1"/>
        <w:rPr>
          <w:rStyle w:val="26"/>
          <w:rFonts w:ascii="黑体" w:hAnsi="黑体" w:eastAsia="黑体"/>
        </w:rPr>
      </w:pPr>
      <w:bookmarkStart w:id="59" w:name="_Toc3794"/>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57"/>
      <w:bookmarkEnd w:id="58"/>
      <w:bookmarkEnd w:id="5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6"/>
          <w:rFonts w:ascii="黑体" w:hAnsi="黑体" w:eastAsia="黑体"/>
          <w:b w:val="0"/>
        </w:rPr>
      </w:pPr>
      <w:bookmarkStart w:id="60" w:name="_Toc15377219"/>
      <w:bookmarkStart w:id="61" w:name="_Toc5876"/>
      <w:bookmarkStart w:id="62" w:name="_Toc15396611"/>
      <w:r>
        <w:rPr>
          <w:rStyle w:val="26"/>
          <w:rFonts w:hint="eastAsia" w:ascii="黑体" w:hAnsi="黑体" w:eastAsia="黑体"/>
          <w:b w:val="0"/>
        </w:rPr>
        <w:t>国有资本经营预算支出决算情况说明</w:t>
      </w:r>
      <w:bookmarkEnd w:id="60"/>
      <w:bookmarkEnd w:id="61"/>
      <w:bookmarkEnd w:id="6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63" w:name="_Toc15377221"/>
      <w:bookmarkStart w:id="64" w:name="_Toc22937"/>
      <w:bookmarkStart w:id="65"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63"/>
      <w:bookmarkEnd w:id="64"/>
      <w:bookmarkEnd w:id="65"/>
    </w:p>
    <w:p>
      <w:pPr>
        <w:spacing w:line="600" w:lineRule="exact"/>
        <w:ind w:firstLine="643" w:firstLineChars="200"/>
        <w:outlineLvl w:val="2"/>
        <w:rPr>
          <w:rFonts w:ascii="仿宋" w:hAnsi="仿宋" w:eastAsia="仿宋"/>
          <w:color w:val="000000"/>
          <w:sz w:val="32"/>
          <w:szCs w:val="32"/>
        </w:rPr>
      </w:pPr>
      <w:bookmarkStart w:id="66" w:name="_Toc15377222"/>
      <w:r>
        <w:rPr>
          <w:rFonts w:hint="eastAsia" w:ascii="仿宋" w:hAnsi="仿宋" w:eastAsia="仿宋"/>
          <w:b/>
          <w:color w:val="000000"/>
          <w:sz w:val="32"/>
          <w:szCs w:val="32"/>
        </w:rPr>
        <w:t>（一）机关运行经费支出情况</w:t>
      </w:r>
      <w:bookmarkEnd w:id="66"/>
    </w:p>
    <w:p>
      <w:pPr>
        <w:spacing w:line="600" w:lineRule="exact"/>
        <w:ind w:firstLine="640" w:firstLineChars="200"/>
        <w:rPr>
          <w:rFonts w:ascii="仿宋" w:hAnsi="仿宋" w:eastAsia="仿宋"/>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9年，泸州市龙马潭区人民检察院机关运行经费支出</w:t>
      </w:r>
      <w:r>
        <w:rPr>
          <w:rFonts w:hint="eastAsia" w:ascii="仿宋_GB2312" w:eastAsia="仿宋_GB2312"/>
          <w:color w:val="000000"/>
          <w:sz w:val="32"/>
          <w:szCs w:val="32"/>
          <w:lang w:val="en-US" w:eastAsia="zh-CN"/>
        </w:rPr>
        <w:t>143.39</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14.01</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8.9</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主要原因是</w:t>
      </w:r>
      <w:r>
        <w:rPr>
          <w:rFonts w:hint="eastAsia" w:ascii="仿宋" w:hAnsi="仿宋" w:eastAsia="仿宋"/>
          <w:color w:val="000000"/>
          <w:sz w:val="32"/>
          <w:szCs w:val="32"/>
          <w:lang w:eastAsia="zh-CN"/>
        </w:rPr>
        <w:t>转隶</w:t>
      </w:r>
      <w:r>
        <w:rPr>
          <w:rFonts w:hint="eastAsia" w:ascii="仿宋" w:hAnsi="仿宋" w:eastAsia="仿宋"/>
          <w:color w:val="000000"/>
          <w:sz w:val="32"/>
          <w:szCs w:val="32"/>
        </w:rPr>
        <w:t>公务员</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人</w:t>
      </w:r>
      <w:r>
        <w:rPr>
          <w:rFonts w:hint="eastAsia" w:ascii="仿宋" w:hAnsi="仿宋" w:eastAsia="仿宋"/>
          <w:color w:val="000000"/>
          <w:sz w:val="32"/>
          <w:szCs w:val="32"/>
          <w:lang w:eastAsia="zh-CN"/>
        </w:rPr>
        <w:t>、调动公务员</w:t>
      </w:r>
      <w:r>
        <w:rPr>
          <w:rFonts w:hint="eastAsia" w:ascii="仿宋" w:hAnsi="仿宋" w:eastAsia="仿宋"/>
          <w:color w:val="000000"/>
          <w:sz w:val="32"/>
          <w:szCs w:val="32"/>
          <w:lang w:val="en-US" w:eastAsia="zh-CN"/>
        </w:rPr>
        <w:t>1人</w:t>
      </w:r>
      <w:r>
        <w:rPr>
          <w:rFonts w:hint="eastAsia" w:ascii="仿宋" w:hAnsi="仿宋" w:eastAsia="仿宋"/>
          <w:color w:val="000000"/>
          <w:sz w:val="32"/>
          <w:szCs w:val="32"/>
          <w:lang w:eastAsia="zh-CN"/>
        </w:rPr>
        <w:t>至纪委</w:t>
      </w:r>
      <w:r>
        <w:rPr>
          <w:rFonts w:hint="eastAsia" w:ascii="仿宋" w:hAnsi="仿宋" w:eastAsia="仿宋"/>
          <w:color w:val="000000"/>
          <w:sz w:val="32"/>
          <w:szCs w:val="32"/>
        </w:rPr>
        <w:t>，</w:t>
      </w:r>
      <w:r>
        <w:rPr>
          <w:rFonts w:hint="eastAsia" w:ascii="仿宋" w:hAnsi="仿宋" w:eastAsia="仿宋"/>
          <w:color w:val="000000"/>
          <w:sz w:val="32"/>
          <w:szCs w:val="32"/>
          <w:lang w:eastAsia="zh-CN"/>
        </w:rPr>
        <w:t>退休</w:t>
      </w:r>
      <w:r>
        <w:rPr>
          <w:rFonts w:hint="eastAsia" w:ascii="仿宋" w:hAnsi="仿宋" w:eastAsia="仿宋"/>
          <w:color w:val="000000"/>
          <w:sz w:val="32"/>
          <w:szCs w:val="32"/>
          <w:lang w:val="en-US" w:eastAsia="zh-CN"/>
        </w:rPr>
        <w:t>1人。</w:t>
      </w:r>
    </w:p>
    <w:p>
      <w:pPr>
        <w:spacing w:line="600" w:lineRule="exact"/>
        <w:ind w:firstLine="640" w:firstLineChars="200"/>
        <w:rPr>
          <w:rFonts w:ascii="仿宋_GB2312" w:eastAsia="仿宋_GB2312"/>
          <w:color w:val="000000" w:themeColor="text1"/>
          <w:sz w:val="32"/>
          <w:szCs w:val="32"/>
        </w:rPr>
      </w:pP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67" w:name="_Toc15377223"/>
      <w:r>
        <w:rPr>
          <w:rFonts w:hint="eastAsia" w:ascii="仿宋" w:hAnsi="仿宋" w:eastAsia="仿宋"/>
          <w:b/>
          <w:color w:val="000000"/>
          <w:sz w:val="32"/>
          <w:szCs w:val="32"/>
        </w:rPr>
        <w:t>（二）政府采购支出情况</w:t>
      </w:r>
      <w:bookmarkEnd w:id="67"/>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9年，泸州市龙马潭区人民检察院政府采购支出总额</w:t>
      </w:r>
      <w:r>
        <w:rPr>
          <w:rFonts w:hint="eastAsia" w:ascii="仿宋_GB2312" w:eastAsia="仿宋_GB2312"/>
          <w:color w:val="000000"/>
          <w:sz w:val="32"/>
          <w:szCs w:val="32"/>
          <w:lang w:val="en-US" w:eastAsia="zh-CN"/>
        </w:rPr>
        <w:t>38.85</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38.85</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万元。主要用于购置办公所需电脑、打印机等设备及办案所需专用设备。授予中小企业合同金额</w:t>
      </w:r>
      <w:r>
        <w:rPr>
          <w:rFonts w:hint="eastAsia" w:ascii="仿宋_GB2312" w:eastAsia="仿宋_GB2312"/>
          <w:color w:val="000000"/>
          <w:sz w:val="32"/>
          <w:szCs w:val="32"/>
          <w:lang w:val="en-US" w:eastAsia="zh-CN"/>
        </w:rPr>
        <w:t>38.85</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38.85</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68" w:name="_Toc15377224"/>
      <w:r>
        <w:rPr>
          <w:rFonts w:hint="eastAsia" w:ascii="仿宋" w:hAnsi="仿宋" w:eastAsia="仿宋"/>
          <w:b/>
          <w:color w:val="000000"/>
          <w:sz w:val="32"/>
          <w:szCs w:val="32"/>
        </w:rPr>
        <w:t>（三）国有资产占有使用情况</w:t>
      </w:r>
      <w:bookmarkEnd w:id="68"/>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日，泸州市龙马潭区人民检察院共有车辆</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辆，其中：一般执法执勤用车</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根据预算绩效管理要求，本部门（单位）在年初预算编制阶段，组织对检察办案工作经费项目、中央转移支付工作经费项目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办公楼女儿墙加固维修</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个项目开展了绩效目标完成情况自评。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资金的支付符合国家财经法规和财务管理制度的规定；资金的拨付由完整的审批程序和手续；经费支出符合部门预算批复的用途，无截留、挪用、虚列支出等情况。部门预决算信息按规定内容，在规定的时限内予以公开。基础数据信息和会计信息资料真实、完整、准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支出绩效评价，从评价情况来看我院严格执行各种财经法律法规以及检察系统的财务管理、涉案款管理规定，严格按照相关规定使用该项资金。我院始终以全力维护社会和谐稳定，着力营造良好发展环境，大力加强民生检察，切实增强群众获得感、幸福感、安全感为目标，实现良好法律效果和社会效果。</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本部门在2019年度部门决算中反映“检察院办案工作经费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、“中央转移支付工作经费”、“办公楼女儿墙加固维修”项目绩效目标实际完成情况。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（1）“检察院办案工作经费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（2）“中央转移支付工作经费”项目绩效目标完成情况综述。项目全年预算数</w:t>
      </w:r>
      <w:r>
        <w:rPr>
          <w:rFonts w:hint="eastAsia" w:ascii="仿宋_GB2312" w:hAnsi="仿宋_GB2312" w:eastAsia="仿宋_GB2312" w:cs="仿宋_GB2312"/>
          <w:sz w:val="32"/>
          <w:szCs w:val="32"/>
          <w:lang w:val="en-US" w:eastAsia="zh-CN"/>
        </w:rPr>
        <w:t>174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174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（3）“办公楼女儿墙加固维修”项目绩效目标完成情况综述。项目全年预算数</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我院</w:t>
      </w:r>
      <w:r>
        <w:rPr>
          <w:rFonts w:hint="eastAsia" w:ascii="仿宋_GB2312" w:hAnsi="仿宋_GB2312" w:eastAsia="仿宋_GB2312" w:cs="仿宋_GB2312"/>
          <w:sz w:val="32"/>
          <w:szCs w:val="32"/>
        </w:rPr>
        <w:t>坚持“宽严相济”刑事司法政策，认真落实好认罪认罚从宽制度;持续发力惩贪治腐,加强刑事执行检察监督，开展羁押必要性审查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保障在押人员合法权益;努力提升行政诉讼监督水平，规范司法行为，加大非诉行政执行监督力度，消除监督盲点;聚焦生态环境保护、食品药品安全等领域，积极投入“维护长江上游生态屏障安全”“保健品市场乱象整治”等专项活动</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我院严格按照相关财务规定，对于项目资金专款专用，补充我院办案业务经费，如办案差旅费、检察教育培训费、</w:t>
      </w:r>
      <w:r>
        <w:rPr>
          <w:rFonts w:hint="eastAsia" w:ascii="仿宋_GB2312" w:hAnsi="仿宋_GB2312" w:eastAsia="仿宋_GB2312" w:cs="仿宋_GB2312"/>
          <w:sz w:val="32"/>
          <w:szCs w:val="32"/>
          <w:lang w:val="zh-CN" w:eastAsia="zh-CN"/>
        </w:rPr>
        <w:t>检察宣传费</w:t>
      </w:r>
      <w:r>
        <w:rPr>
          <w:rFonts w:hint="eastAsia" w:ascii="仿宋_GB2312" w:hAnsi="仿宋_GB2312" w:eastAsia="仿宋_GB2312" w:cs="仿宋_GB2312"/>
          <w:sz w:val="32"/>
          <w:szCs w:val="32"/>
        </w:rPr>
        <w:t>、协助办案费、技术检验、鉴定和翻译费等业务费用。</w:t>
      </w:r>
      <w:r>
        <w:rPr>
          <w:rFonts w:hint="eastAsia" w:ascii="仿宋_GB2312" w:hAnsi="仿宋_GB2312" w:eastAsia="仿宋_GB2312" w:cs="仿宋_GB2312"/>
          <w:sz w:val="32"/>
          <w:szCs w:val="32"/>
          <w:lang w:val="zh-CN"/>
        </w:rPr>
        <w:t>项目资金使用过程中，我院始终本着按实报销的精神，严格按照财务管理规定进行资金审核及支付。</w:t>
      </w:r>
    </w:p>
    <w:p>
      <w:pPr>
        <w:spacing w:line="600" w:lineRule="exact"/>
        <w:ind w:firstLine="640" w:firstLineChars="200"/>
        <w:rPr>
          <w:rFonts w:hint="eastAsia" w:ascii="仿宋_GB2312" w:hAnsi="仿宋_GB2312" w:eastAsia="仿宋_GB2312" w:cs="仿宋_GB2312"/>
          <w:sz w:val="32"/>
          <w:szCs w:val="32"/>
          <w:lang w:val="zh-CN" w:eastAsia="zh-CN"/>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检察院办案工作经费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泸州市龙马潭区人民检察院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按时按量完成案件，无超期、无错案，按照规定时限完成案件，使社会更加稳定，人民群众幸福感增强。</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按时按量完成案件，无超期、无错案，全力维护社会和谐稳定，着力营造良好发展环境，大力加强民生检察，切实增强群众获得感、幸福感、安全感为目标，实现良好法律效果和社会效果。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完成案件数量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全年完成案件数量800件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全年收案1072件，结案1017件</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完成案件质量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无超期、无错案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无超期、无错案</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无超期、无错案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案件均在规定时限完成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办案所需咨询费、差旅费、培训费等</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所有经费按实填报，钱用在刀刃上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严格按照财务管理规定进行资金审核及支付</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社会稳定性、保障性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社会保障越来越强，法治意识逐步增强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通过宣传单等方式向群众讲解，宣传，进一步提高了群众的法治意识</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环境改善度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扬尘及河流污染问题得以改善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办理公益诉讼案件54件，发出诉前检察建议30件，提起刑事附带民事公益诉讼3件。</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受益群众满意度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人民群众幸福感增强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社会法治意识不断增强，社会稳定，人民安居乐业</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中央转移支付工作经费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泸州市龙马潭区人民检察院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174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174</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174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174</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按时按量完成案件，无超期、无错案，按照规定时限完成案件，使社会更加稳定，人民群众幸福感增强。</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按时按量完成案件，无超期、无错案，全力维护社会和谐稳定，着力营造良好发展环境，大力加强民生检察，切实增强群众获得感、幸福感、安全感为目标，实现良好法律效果和社会效果。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完成案件数量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全年完成案件数量800件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全年收案1072件，结案1017件</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完成案件质量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无超期、无错案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无超期、无错案</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无超期、无错案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案件均在规定时限完成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办案所需咨询费、差旅费、培训费等；购置办案办公设备经费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所有经费按实填报，钱用在刀刃上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严格按照财务管理规定进行资金审核及支付</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社会稳定性、保障性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社会保障越来越强，法治意识逐步增强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通过宣传单等方式向群众讲解，宣传，进一步提高了群众的法治意识</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环境改善度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扬尘及河流污染问题得以改善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办理公益诉讼案件54件，发出诉前检察建议30件，提起刑事附带民事公益诉讼3件。</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受益群众满意度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人民群众幸福感增强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社会法治意识不断增强，社会稳定，人民安居乐业</w:t>
            </w:r>
          </w:p>
        </w:tc>
      </w:tr>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办公楼女儿墙加固维修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泸州市龙马潭区人民检察院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按时按质完成楼顶女儿墙维修维护，为全院干警提供安全稳固的办公环境，提高办案效率。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切实保障办公场所的安全，为全院干警营造良好工作氛围，提高办案效率。发挥检察职能，不断加大执法办案工作力度，全力维护社会和谐稳定，着力营造良好发展环境，大力加强民生检察，切实增强群众获得感、幸福感、安全感为目标，实现良好法律效果和社会效果。</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12月底前完成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9月底已完成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所需资金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40万元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社会稳定性、保障性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社会保障越来越强，法治意识逐步增强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通过改善办案环境，提高办案效率，群众满意度逐步提升</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受益群众满意度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人民群众幸福感增强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社会法治意识不断增强，社会稳定，人民安居乐业</w:t>
            </w:r>
          </w:p>
        </w:tc>
      </w:tr>
    </w:tbl>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泸州市龙马潭区人民检察院</w:t>
      </w:r>
      <w:r>
        <w:rPr>
          <w:rFonts w:hint="eastAsia" w:ascii="仿宋_GB2312" w:hAnsi="仿宋_GB2312" w:eastAsia="仿宋_GB2312" w:cs="仿宋_GB2312"/>
          <w:sz w:val="32"/>
          <w:szCs w:val="32"/>
        </w:rPr>
        <w:t>2019年部门整体支出绩效评价报告》见附件（附件1）。</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69" w:name="_Toc15396613"/>
      <w:bookmarkStart w:id="70" w:name="_Toc15377225"/>
      <w:bookmarkStart w:id="71" w:name="_Toc1019"/>
      <w:r>
        <w:rPr>
          <w:rFonts w:hint="eastAsia" w:ascii="黑体" w:hAnsi="黑体" w:eastAsia="黑体"/>
          <w:color w:val="000000"/>
          <w:sz w:val="44"/>
          <w:szCs w:val="44"/>
        </w:rPr>
        <w:t>名</w:t>
      </w:r>
      <w:r>
        <w:rPr>
          <w:rStyle w:val="25"/>
          <w:rFonts w:hint="eastAsia" w:ascii="黑体" w:hAnsi="黑体" w:eastAsia="黑体"/>
          <w:b w:val="0"/>
        </w:rPr>
        <w:t>词解释</w:t>
      </w:r>
      <w:bookmarkEnd w:id="69"/>
      <w:bookmarkEnd w:id="70"/>
      <w:bookmarkEnd w:id="71"/>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bookmarkStart w:id="72"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 w:hAnsi="仿宋" w:eastAsia="仿宋"/>
          <w:b/>
          <w:bCs/>
          <w:color w:val="000000"/>
          <w:sz w:val="32"/>
        </w:rPr>
        <w:t xml:space="preserve"> </w:t>
      </w:r>
      <w:r>
        <w:rPr>
          <w:rFonts w:hint="eastAsia" w:ascii="仿宋_GB2312" w:eastAsia="仿宋_GB2312"/>
          <w:bCs/>
          <w:color w:val="000000"/>
          <w:sz w:val="32"/>
          <w:szCs w:val="32"/>
        </w:rPr>
        <w:t>公共安全支出（类）检察（款）行政运行（项）</w:t>
      </w:r>
      <w:r>
        <w:rPr>
          <w:rFonts w:ascii="仿宋_GB2312" w:eastAsia="仿宋_GB2312"/>
          <w:bCs/>
          <w:color w:val="000000"/>
          <w:sz w:val="32"/>
          <w:szCs w:val="32"/>
        </w:rPr>
        <w:t>:</w:t>
      </w:r>
      <w:r>
        <w:rPr>
          <w:rFonts w:hint="eastAsia" w:ascii="仿宋_GB2312" w:eastAsia="仿宋_GB2312"/>
          <w:color w:val="000000"/>
          <w:sz w:val="32"/>
          <w:szCs w:val="32"/>
        </w:rPr>
        <w:t>指检察机关保障机构正常运转、完成日常工作任务而发生的人员支出和公用支出。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 w:hAnsi="仿宋" w:eastAsia="仿宋"/>
          <w:b/>
          <w:bCs/>
          <w:color w:val="000000"/>
          <w:sz w:val="32"/>
        </w:rPr>
        <w:t xml:space="preserve"> </w:t>
      </w:r>
      <w:r>
        <w:rPr>
          <w:rFonts w:hint="eastAsia" w:ascii="仿宋_GB2312" w:eastAsia="仿宋_GB2312"/>
          <w:bCs/>
          <w:color w:val="000000"/>
          <w:sz w:val="32"/>
          <w:szCs w:val="32"/>
        </w:rPr>
        <w:t>公共安全支出（类）检察（款）一般行政管理事务（项）</w:t>
      </w:r>
      <w:r>
        <w:rPr>
          <w:rFonts w:hint="eastAsia" w:ascii="仿宋_GB2312" w:eastAsia="仿宋_GB2312"/>
          <w:color w:val="000000"/>
          <w:sz w:val="32"/>
          <w:szCs w:val="32"/>
        </w:rPr>
        <w:t>：指检察机关在基本支出之外为完成特定行政任务和事业发展目标所发生的支出。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 w:hAnsi="仿宋" w:eastAsia="仿宋"/>
          <w:bCs/>
          <w:color w:val="000000"/>
          <w:sz w:val="32"/>
        </w:rPr>
        <w:t xml:space="preserve"> </w:t>
      </w:r>
      <w:r>
        <w:rPr>
          <w:rFonts w:hint="eastAsia" w:ascii="仿宋_GB2312" w:eastAsia="仿宋_GB2312"/>
          <w:bCs/>
          <w:color w:val="000000"/>
          <w:sz w:val="32"/>
          <w:szCs w:val="32"/>
        </w:rPr>
        <w:t>公共安全支出（类）检察（款）其他检察支出（项）</w:t>
      </w:r>
      <w:r>
        <w:rPr>
          <w:rFonts w:hint="eastAsia" w:ascii="仿宋_GB2312" w:eastAsia="仿宋_GB2312"/>
          <w:color w:val="000000"/>
          <w:sz w:val="32"/>
          <w:szCs w:val="32"/>
        </w:rPr>
        <w:t>：指检察机关在基本支出之外为完成特定行政任务和事业发展目标所发生的支出。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12.社会保障和就业（类）行政事业单位离退休（款）机关事业单位基本养老保险缴费支出（项）：指部门实施养老保险制度由单位缴纳的养老保险费的支出。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13.社会保障和就业（类）行政事业单位离退休（款）机关事业单位职业年金缴费支出（项）：指部门实施养老保险制度由单位缴纳的职业年金的支出。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14.社会保障和就业（类）其他社会保障和就业（款）其他社会保障和就业支出（项）：指除上述项目外，其他用于行政事业单位离退休方面的支出。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（类）行政事业单位医疗（款）行政单位医疗（项）：指单位用于缴纳单位基本医疗保险支出。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16.住房保障（类）住房改革支出（款）住房公积金（项）：指按照《住房公积金管理条例》的规定，由单位及其在职职工缴存的长期住房储金。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 w:hAnsi="仿宋" w:eastAsia="仿宋"/>
          <w:b/>
          <w:color w:val="000000"/>
          <w:sz w:val="32"/>
          <w:szCs w:val="32"/>
        </w:rPr>
      </w:pPr>
      <w:r>
        <w:rPr>
          <w:rFonts w:hint="eastAsia" w:ascii="仿宋_GB2312" w:eastAsia="仿宋_GB2312"/>
          <w:sz w:val="32"/>
          <w:szCs w:val="32"/>
        </w:rPr>
        <w:t>2</w:t>
      </w:r>
      <w:r>
        <w:rPr>
          <w:rFonts w:ascii="仿宋_GB2312" w:eastAsia="仿宋_GB2312"/>
          <w:sz w:val="32"/>
          <w:szCs w:val="32"/>
        </w:rPr>
        <w:t>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72"/>
    </w:p>
    <w:p>
      <w:pPr>
        <w:spacing w:line="600" w:lineRule="exact"/>
        <w:jc w:val="center"/>
        <w:outlineLvl w:val="0"/>
        <w:rPr>
          <w:rStyle w:val="25"/>
          <w:rFonts w:ascii="黑体" w:hAnsi="黑体" w:eastAsia="黑体"/>
          <w:b w:val="0"/>
        </w:rPr>
      </w:pPr>
      <w:r>
        <w:rPr>
          <w:rFonts w:ascii="宋体"/>
          <w:b/>
          <w:color w:val="000000"/>
          <w:sz w:val="44"/>
          <w:szCs w:val="44"/>
        </w:rPr>
        <w:br w:type="page"/>
      </w:r>
      <w:bookmarkStart w:id="73" w:name="_Toc25488"/>
      <w:bookmarkStart w:id="74"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73"/>
      <w:bookmarkEnd w:id="74"/>
    </w:p>
    <w:p>
      <w:pPr>
        <w:spacing w:line="600" w:lineRule="exact"/>
        <w:jc w:val="left"/>
        <w:outlineLvl w:val="1"/>
        <w:rPr>
          <w:rFonts w:ascii="方正小标宋简体" w:hAnsi="方正小标宋简体" w:eastAsia="方正小标宋简体" w:cs="方正小标宋简体"/>
          <w:sz w:val="32"/>
          <w:szCs w:val="32"/>
        </w:rPr>
      </w:pPr>
      <w:bookmarkStart w:id="75" w:name="_Toc18321"/>
      <w:r>
        <w:rPr>
          <w:rFonts w:hint="eastAsia" w:ascii="黑体" w:hAnsi="黑体" w:eastAsia="黑体" w:cs="黑体"/>
          <w:sz w:val="32"/>
          <w:szCs w:val="32"/>
        </w:rPr>
        <w:t>附件1</w:t>
      </w:r>
      <w:bookmarkEnd w:id="75"/>
    </w:p>
    <w:p>
      <w:pPr>
        <w:spacing w:line="580" w:lineRule="exact"/>
        <w:jc w:val="center"/>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00" w:lineRule="exact"/>
        <w:jc w:val="center"/>
        <w:textAlignment w:val="auto"/>
        <w:outlineLvl w:val="9"/>
        <w:rPr>
          <w:rFonts w:ascii="黑体" w:hAnsi="黑体" w:eastAsia="黑体" w:cs="方正小标宋简体"/>
          <w:sz w:val="36"/>
          <w:szCs w:val="36"/>
        </w:rPr>
      </w:pPr>
      <w:bookmarkStart w:id="76" w:name="_Toc15396616"/>
      <w:r>
        <w:rPr>
          <w:rFonts w:hint="eastAsia" w:ascii="黑体" w:hAnsi="黑体" w:eastAsia="黑体" w:cs="方正小标宋简体"/>
          <w:sz w:val="36"/>
          <w:szCs w:val="36"/>
        </w:rPr>
        <w:t>泸州市龙马潭区人民检察院</w:t>
      </w:r>
    </w:p>
    <w:p>
      <w:pPr>
        <w:keepNext w:val="0"/>
        <w:keepLines w:val="0"/>
        <w:pageBreakBefore w:val="0"/>
        <w:kinsoku/>
        <w:wordWrap/>
        <w:overflowPunct/>
        <w:topLinePunct w:val="0"/>
        <w:autoSpaceDE/>
        <w:autoSpaceDN/>
        <w:bidi w:val="0"/>
        <w:spacing w:line="600" w:lineRule="exact"/>
        <w:jc w:val="center"/>
        <w:textAlignment w:val="auto"/>
        <w:outlineLvl w:val="9"/>
        <w:rPr>
          <w:rFonts w:ascii="黑体" w:hAnsi="黑体" w:eastAsia="黑体" w:cs="方正小标宋简体"/>
          <w:sz w:val="36"/>
          <w:szCs w:val="36"/>
        </w:rPr>
      </w:pPr>
      <w:r>
        <w:rPr>
          <w:rFonts w:hint="eastAsia"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76"/>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黑体" w:hAnsi="黑体" w:eastAsia="黑体" w:cs="黑体"/>
          <w:sz w:val="32"/>
          <w:szCs w:val="32"/>
        </w:rPr>
      </w:pP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一、部门（单位）概况</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ascii="仿宋" w:hAnsi="仿宋" w:eastAsia="仿宋" w:cs="仿宋_GB2312"/>
          <w:sz w:val="32"/>
          <w:szCs w:val="32"/>
        </w:rPr>
        <w:t>（一）机构组成。</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泸州市龙马潭区人民检察院机构性质为行政单位，管理形式为公务员管理，我院下属二级预算单位1个，为全额拨款事业单位。</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ascii="仿宋" w:hAnsi="仿宋" w:eastAsia="仿宋" w:cs="仿宋_GB2312"/>
          <w:sz w:val="32"/>
          <w:szCs w:val="32"/>
        </w:rPr>
        <w:t>（二）机构职能。</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泸州市龙马潭区人民检察院是行政单位，基本职能是通过行使检察权，监督法律实施，惩罚犯罪活动，保护国家安全、人民民主专政政权和社会主义制度，尊重和保障人权，保护公民、法人和其他组织的合法权益，维护国家法律的统一和政权实施。</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ascii="仿宋" w:hAnsi="仿宋" w:eastAsia="仿宋" w:cs="仿宋_GB2312"/>
          <w:sz w:val="32"/>
          <w:szCs w:val="32"/>
        </w:rPr>
        <w:t>（三）人员概况。</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泸州市龙马潭区人民检察院编制共有54名，其中行政政法编制43名，工勤编制3名，事业编制8名。实有在职人员总数50人，其中行政人员41人，工勤人员3人，事业人员6人；临聘人员3</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人，离退休人员1</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人。</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黑体" w:hAnsi="黑体" w:eastAsia="黑体" w:cs="黑体"/>
          <w:sz w:val="32"/>
          <w:szCs w:val="32"/>
        </w:rPr>
      </w:pPr>
      <w:r>
        <w:rPr>
          <w:rFonts w:ascii="黑体" w:hAnsi="黑体" w:eastAsia="黑体" w:cs="黑体"/>
          <w:sz w:val="32"/>
          <w:szCs w:val="32"/>
        </w:rPr>
        <w:t>二、部门财政资金收支情况</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ascii="仿宋" w:hAnsi="仿宋" w:eastAsia="仿宋" w:cs="仿宋_GB2312"/>
          <w:sz w:val="32"/>
          <w:szCs w:val="32"/>
        </w:rPr>
        <w:t>（一）部门财政资金收入情况。</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年泸州市龙马潭区人民检察院本年收入合计</w:t>
      </w:r>
      <w:r>
        <w:rPr>
          <w:rFonts w:hint="eastAsia" w:ascii="仿宋" w:hAnsi="仿宋" w:eastAsia="仿宋" w:cs="仿宋_GB2312"/>
          <w:sz w:val="32"/>
          <w:szCs w:val="32"/>
          <w:lang w:val="en-US" w:eastAsia="zh-CN"/>
        </w:rPr>
        <w:t>1675.83</w:t>
      </w:r>
      <w:r>
        <w:rPr>
          <w:rFonts w:hint="eastAsia" w:ascii="仿宋" w:hAnsi="仿宋" w:eastAsia="仿宋" w:cs="仿宋_GB2312"/>
          <w:sz w:val="32"/>
          <w:szCs w:val="32"/>
        </w:rPr>
        <w:t>万元，其中：一般公共预算财政拨款收入</w:t>
      </w:r>
      <w:r>
        <w:rPr>
          <w:rFonts w:hint="eastAsia" w:ascii="仿宋" w:hAnsi="仿宋" w:eastAsia="仿宋" w:cs="仿宋_GB2312"/>
          <w:sz w:val="32"/>
          <w:szCs w:val="32"/>
          <w:lang w:val="en-US" w:eastAsia="zh-CN"/>
        </w:rPr>
        <w:t>1675.83</w:t>
      </w:r>
      <w:r>
        <w:rPr>
          <w:rFonts w:hint="eastAsia" w:ascii="仿宋" w:hAnsi="仿宋" w:eastAsia="仿宋" w:cs="仿宋_GB2312"/>
          <w:sz w:val="32"/>
          <w:szCs w:val="32"/>
        </w:rPr>
        <w:t>万元，占100%。</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ascii="仿宋" w:hAnsi="仿宋" w:eastAsia="仿宋" w:cs="仿宋_GB2312"/>
          <w:sz w:val="32"/>
          <w:szCs w:val="32"/>
        </w:rPr>
        <w:t>（二）部门财政资金支出情况。</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 w:hAnsi="仿宋" w:eastAsia="仿宋"/>
          <w:color w:val="000000"/>
          <w:sz w:val="32"/>
          <w:szCs w:val="32"/>
          <w:lang w:eastAsia="zh-CN"/>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年泸州市龙马潭区人民检察院本年支出合计</w:t>
      </w:r>
      <w:r>
        <w:rPr>
          <w:rFonts w:hint="eastAsia" w:ascii="仿宋" w:hAnsi="仿宋" w:eastAsia="仿宋" w:cs="仿宋_GB2312"/>
          <w:sz w:val="32"/>
          <w:szCs w:val="32"/>
          <w:lang w:val="en-US" w:eastAsia="zh-CN"/>
        </w:rPr>
        <w:t>1675.83</w:t>
      </w:r>
      <w:r>
        <w:rPr>
          <w:rFonts w:hint="eastAsia" w:ascii="仿宋" w:hAnsi="仿宋" w:eastAsia="仿宋" w:cs="仿宋_GB2312"/>
          <w:sz w:val="32"/>
          <w:szCs w:val="32"/>
        </w:rPr>
        <w:t>万元，其中：</w:t>
      </w:r>
      <w:r>
        <w:rPr>
          <w:rFonts w:hint="eastAsia" w:ascii="仿宋" w:hAnsi="仿宋" w:eastAsia="仿宋"/>
          <w:color w:val="000000"/>
          <w:sz w:val="32"/>
          <w:szCs w:val="32"/>
        </w:rPr>
        <w:t>基本支出</w:t>
      </w:r>
      <w:r>
        <w:rPr>
          <w:rFonts w:hint="eastAsia" w:ascii="仿宋" w:hAnsi="仿宋" w:eastAsia="仿宋"/>
          <w:color w:val="000000"/>
          <w:sz w:val="32"/>
          <w:szCs w:val="32"/>
          <w:lang w:val="en-US" w:eastAsia="zh-CN"/>
        </w:rPr>
        <w:t>1428.83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85.26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247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14.74</w:t>
      </w:r>
      <w:r>
        <w:rPr>
          <w:rFonts w:ascii="仿宋" w:hAnsi="仿宋" w:eastAsia="仿宋"/>
          <w:color w:val="000000"/>
          <w:sz w:val="32"/>
          <w:szCs w:val="32"/>
        </w:rPr>
        <w:t>%</w:t>
      </w:r>
      <w:r>
        <w:rPr>
          <w:rFonts w:hint="eastAsia" w:ascii="仿宋" w:hAnsi="仿宋" w:eastAsia="仿宋"/>
          <w:color w:val="000000"/>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黑体" w:hAnsi="黑体" w:eastAsia="黑体" w:cs="黑体"/>
          <w:sz w:val="32"/>
          <w:szCs w:val="32"/>
        </w:rPr>
      </w:pPr>
      <w:r>
        <w:rPr>
          <w:rFonts w:ascii="黑体" w:hAnsi="黑体" w:eastAsia="黑体" w:cs="黑体"/>
          <w:sz w:val="32"/>
          <w:szCs w:val="32"/>
        </w:rPr>
        <w:t>三、部门整体预算绩效管理情况</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（一）部门决策情况。</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对部门的整体目标是，对于公安机关、国家安全机关等侦察机关侦查的案件进行审查，决定是否逮捕、起诉或者不起诉；对于刑事案件提起公诉，支持公诉；对于人民法院的刑事判决、裁定是否正确和审判活动是否合法实行监督；对于行政诉讼、人民法院的民事审判活动实行法律监督，对人民法院已经发生效力的判决、裁定，发现违反法律、法规规定的，依法提出抗诉；向行政机关发出检察建议等。按时按量完成案件，无超期、无错案，按照规定时限完成案件，使社会更加稳定，人民群众幸福感增强，保障检察工作的开展。切实达到维护国家利益和公共利益的目的，实现让金山银山变成绿水青山的目标。我院始终以全力维护社会和谐稳定，着力营造良好发展环境，大力加强民生检察，切实增强群众获得感、幸福感、安全感为目标，实现良好法律效果和社会效果。</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（二）综合管理情况。</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在院领导的联系协调下，积极争取各级党委、政府的支持，抓好配套政策落实，巩固和发展现有的政法经费保障体制和投资保障机制改革的成果，为加强检务保障工作创造了良好的外部条件。</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1、规范财务管理。落实中央八项规定精神，加强收支管理，规范审批流程，严控“三公”经费支出。按照要求，规范会计核算，保证会计信息质量，提高管理水平。严格执行“收支两条线”规定，加强对刑事诉讼涉案款的管理。</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2、强化资产管理。建立国有资产管理长效机制，按照各级财政部门要求，做好资产核实申报、资产处置和账务处理工作。</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3、推进内部控制体系建设。按照分事行权、分岗设权、分级授权要求，加强财经活动内部控制建设，健全内部控制体系。</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（三）部门绩效情况。</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严厉打击各类刑事犯罪，共受理提请批准逮捕495人，经审查批准逮捕337人；受理审查起诉692人，已依法提起公诉496人。深入开展扫黑除恶专项斗争，共批准逮捕涉黑恶势力犯罪45人，已提起公诉20人，法院已判决6人。深刻领会习近平总书记在民营企业家座谈会上的重要讲话精神，研究制定服务保障民营经济健康发展工作措施。依法严厉打击合同诈骗、串通投标、强迫交易、非法经营、“套路贷”等侵犯民营企业财产权、创新权益、自主经营权等合法权益的犯罪，批捕36人，已起诉15人。</w:t>
      </w:r>
      <w:r>
        <w:rPr>
          <w:rFonts w:hint="eastAsia" w:eastAsia="仿宋_GB2312"/>
          <w:color w:val="000000"/>
          <w:sz w:val="32"/>
          <w:szCs w:val="32"/>
        </w:rPr>
        <w:t>牢固树立客观公正的执法理念，切实保障人民群众正当诉求，促进司法公正。聚焦生态环境保护、食品药品安全等领域，积极投入“维护长江上游生态屏障安全”“保健品市场乱象整治”等专项活动，办理公益诉讼案件</w:t>
      </w:r>
      <w:r>
        <w:rPr>
          <w:rFonts w:hint="eastAsia" w:ascii="仿宋_GB2312" w:hAnsi="仿宋_GB2312" w:eastAsia="仿宋_GB2312" w:cs="仿宋_GB2312"/>
          <w:color w:val="000000"/>
          <w:sz w:val="32"/>
          <w:szCs w:val="32"/>
        </w:rPr>
        <w:t>54件，发出诉前检察建议30件，提起刑事附带民事公益诉讼3件。</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黑体" w:hAnsi="黑体" w:eastAsia="黑体" w:cs="黑体"/>
          <w:sz w:val="32"/>
          <w:szCs w:val="32"/>
        </w:rPr>
      </w:pPr>
      <w:r>
        <w:rPr>
          <w:rFonts w:ascii="黑体" w:hAnsi="黑体" w:eastAsia="黑体" w:cs="黑体"/>
          <w:sz w:val="32"/>
          <w:szCs w:val="32"/>
        </w:rPr>
        <w:t>四、评价结论及建议</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ascii="仿宋" w:hAnsi="仿宋" w:eastAsia="仿宋" w:cs="仿宋_GB2312"/>
          <w:sz w:val="32"/>
          <w:szCs w:val="32"/>
        </w:rPr>
        <w:t>（一）评价结论。</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1、资金使用合规性。资金的支付符合国家财经法规和财务管理制度的规定；资金的拨付由完整的审批程序和手续；经费支出符合部门预算批复的用途，无截留、挪用、虚列支出等情况。</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2、预决算信息公开性。部门预决算信息按规定内容，在规定的时限内予以公开。基础数据信息和会计信息资料真实、完整、准确。</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３、依法打击各类刑事犯罪。继续保持对严重刑事犯罪的高压态势，突出打击黑恶势力犯罪、严重暴力犯罪、多发性侵财犯罪等犯罪活动。在办案中认真审查证据，严格把握批准逮捕条件。</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４、抓思想作风建设。教育和引导检察干警牢固树立忠诚的政治本色、为民的宗旨意识、公正的价值追求、廉洁的职业操守。积极开展爱国主义教育，传承始终对党忠诚、时刻装着人民、自觉抵制腐蚀和诱惑的革命精神。</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ascii="仿宋" w:hAnsi="仿宋" w:eastAsia="仿宋" w:cs="仿宋_GB2312"/>
          <w:sz w:val="32"/>
          <w:szCs w:val="32"/>
        </w:rPr>
        <w:t>（二）存在问题。</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办案经费保障不足。由于我院办案经费来源于非税收入，但案件侦查时间长，判决程序复杂，导致暂扣款长期挂账，无法计入我院的非税收入，从而使办案经费不足，办案人员工作难以开展。</w:t>
      </w:r>
    </w:p>
    <w:p>
      <w:pPr>
        <w:pStyle w:val="33"/>
        <w:keepNext w:val="0"/>
        <w:keepLines w:val="0"/>
        <w:pageBreakBefore w:val="0"/>
        <w:numPr>
          <w:ilvl w:val="0"/>
          <w:numId w:val="4"/>
        </w:numPr>
        <w:kinsoku/>
        <w:wordWrap/>
        <w:overflowPunct/>
        <w:topLinePunct w:val="0"/>
        <w:autoSpaceDE/>
        <w:autoSpaceDN/>
        <w:bidi w:val="0"/>
        <w:spacing w:line="600" w:lineRule="exact"/>
        <w:ind w:firstLineChars="0"/>
        <w:jc w:val="both"/>
        <w:textAlignment w:val="auto"/>
        <w:rPr>
          <w:rFonts w:ascii="仿宋" w:hAnsi="仿宋" w:eastAsia="仿宋" w:cs="仿宋_GB2312"/>
          <w:sz w:val="32"/>
          <w:szCs w:val="32"/>
        </w:rPr>
      </w:pPr>
      <w:r>
        <w:rPr>
          <w:rFonts w:ascii="仿宋" w:hAnsi="仿宋" w:eastAsia="仿宋" w:cs="仿宋_GB2312"/>
          <w:sz w:val="32"/>
          <w:szCs w:val="32"/>
        </w:rPr>
        <w:t>改进建议。</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 w:hAnsi="仿宋" w:eastAsia="仿宋" w:cs="仿宋_GB2312"/>
          <w:sz w:val="32"/>
          <w:szCs w:val="32"/>
        </w:rPr>
      </w:pPr>
      <w:r>
        <w:rPr>
          <w:rFonts w:hint="eastAsia" w:ascii="仿宋" w:hAnsi="仿宋" w:eastAsia="仿宋" w:cs="仿宋_GB2312"/>
          <w:sz w:val="32"/>
          <w:szCs w:val="32"/>
        </w:rPr>
        <w:t>1、精准扶贫工作开展占用我院日常公用经费20万元，希望财政能拨付精准扶贫资金，为更好开展精准扶贫工作提供坚实保障。</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_GB2312" w:hAnsi="宋体" w:eastAsia="仿宋_GB2312"/>
          <w:sz w:val="32"/>
          <w:szCs w:val="32"/>
          <w:lang w:val="zh-CN"/>
        </w:rPr>
      </w:pPr>
      <w:r>
        <w:rPr>
          <w:rFonts w:hint="eastAsia" w:ascii="仿宋" w:hAnsi="仿宋" w:eastAsia="仿宋" w:cs="仿宋_GB2312"/>
          <w:sz w:val="32"/>
          <w:szCs w:val="32"/>
        </w:rPr>
        <w:t>2、希望财政加大对我院经费的扶持力度，同时，我院也会进一步的提升经费的使用效率，为龙马潭区经济社会的发展作出更大的贡献</w:t>
      </w:r>
      <w:r>
        <w:rPr>
          <w:rFonts w:hint="eastAsia" w:ascii="仿宋_GB2312" w:hAnsi="宋体" w:eastAsia="仿宋_GB2312"/>
          <w:sz w:val="32"/>
          <w:szCs w:val="32"/>
          <w:lang w:val="zh-CN"/>
        </w:rPr>
        <w:t>。</w:t>
      </w: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bookmarkStart w:id="77" w:name="_Toc30337"/>
      <w:bookmarkStart w:id="78"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77"/>
      <w:bookmarkEnd w:id="78"/>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79" w:name="_Toc15396619"/>
      <w:bookmarkStart w:id="80" w:name="_Toc28489"/>
      <w:r>
        <w:rPr>
          <w:rFonts w:hint="eastAsia" w:ascii="仿宋" w:hAnsi="仿宋" w:eastAsia="仿宋"/>
          <w:b w:val="0"/>
          <w:color w:val="000000"/>
        </w:rPr>
        <w:t>一、收</w:t>
      </w:r>
      <w:r>
        <w:rPr>
          <w:rStyle w:val="26"/>
          <w:rFonts w:hint="eastAsia" w:ascii="仿宋" w:hAnsi="仿宋" w:eastAsia="仿宋"/>
          <w:b w:val="0"/>
          <w:bCs w:val="0"/>
        </w:rPr>
        <w:t>入支出决算总表</w:t>
      </w:r>
      <w:bookmarkEnd w:id="79"/>
      <w:bookmarkEnd w:id="80"/>
    </w:p>
    <w:p>
      <w:pPr>
        <w:pStyle w:val="3"/>
        <w:rPr>
          <w:rFonts w:ascii="仿宋" w:hAnsi="仿宋" w:eastAsia="仿宋"/>
          <w:color w:val="000000"/>
        </w:rPr>
      </w:pPr>
      <w:bookmarkStart w:id="81" w:name="_Toc15396620"/>
      <w:bookmarkStart w:id="82" w:name="_Toc28890"/>
      <w:r>
        <w:rPr>
          <w:rFonts w:hint="eastAsia" w:ascii="仿宋" w:hAnsi="仿宋" w:eastAsia="仿宋"/>
          <w:b w:val="0"/>
          <w:color w:val="000000"/>
        </w:rPr>
        <w:t>二、收</w:t>
      </w:r>
      <w:r>
        <w:rPr>
          <w:rStyle w:val="26"/>
          <w:rFonts w:hint="eastAsia" w:ascii="仿宋" w:hAnsi="仿宋" w:eastAsia="仿宋"/>
          <w:b w:val="0"/>
          <w:bCs w:val="0"/>
        </w:rPr>
        <w:t>入决算表</w:t>
      </w:r>
      <w:bookmarkEnd w:id="81"/>
      <w:bookmarkEnd w:id="82"/>
    </w:p>
    <w:p>
      <w:pPr>
        <w:pStyle w:val="3"/>
        <w:rPr>
          <w:rFonts w:ascii="仿宋" w:hAnsi="仿宋" w:eastAsia="仿宋"/>
          <w:color w:val="000000"/>
        </w:rPr>
      </w:pPr>
      <w:bookmarkStart w:id="83" w:name="_Toc29273"/>
      <w:bookmarkStart w:id="84"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83"/>
      <w:bookmarkEnd w:id="84"/>
    </w:p>
    <w:p>
      <w:pPr>
        <w:pStyle w:val="3"/>
        <w:rPr>
          <w:rFonts w:ascii="仿宋" w:hAnsi="仿宋" w:eastAsia="仿宋"/>
          <w:b w:val="0"/>
          <w:color w:val="000000"/>
        </w:rPr>
      </w:pPr>
      <w:bookmarkStart w:id="85" w:name="_Toc15396622"/>
      <w:bookmarkStart w:id="86" w:name="_Toc15733"/>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85"/>
      <w:bookmarkEnd w:id="86"/>
    </w:p>
    <w:p>
      <w:pPr>
        <w:pStyle w:val="3"/>
        <w:rPr>
          <w:rStyle w:val="26"/>
          <w:rFonts w:ascii="仿宋" w:hAnsi="仿宋" w:eastAsia="仿宋"/>
          <w:b w:val="0"/>
          <w:bCs w:val="0"/>
        </w:rPr>
      </w:pPr>
      <w:bookmarkStart w:id="87" w:name="_Toc1737"/>
      <w:bookmarkStart w:id="88"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87"/>
      <w:bookmarkEnd w:id="88"/>
      <w:bookmarkStart w:id="89" w:name="_Toc15396624"/>
    </w:p>
    <w:p>
      <w:pPr>
        <w:pStyle w:val="3"/>
        <w:rPr>
          <w:rFonts w:ascii="仿宋" w:hAnsi="仿宋" w:eastAsia="仿宋"/>
          <w:color w:val="000000"/>
        </w:rPr>
      </w:pPr>
      <w:bookmarkStart w:id="90" w:name="_Toc7810"/>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89"/>
      <w:bookmarkEnd w:id="90"/>
    </w:p>
    <w:p>
      <w:pPr>
        <w:pStyle w:val="3"/>
        <w:rPr>
          <w:rFonts w:ascii="仿宋" w:hAnsi="仿宋" w:eastAsia="仿宋"/>
          <w:color w:val="000000"/>
        </w:rPr>
      </w:pPr>
      <w:bookmarkStart w:id="91" w:name="_Toc24875"/>
      <w:bookmarkStart w:id="92"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91"/>
      <w:bookmarkEnd w:id="92"/>
    </w:p>
    <w:p>
      <w:pPr>
        <w:pStyle w:val="3"/>
        <w:rPr>
          <w:rFonts w:ascii="仿宋" w:hAnsi="仿宋" w:eastAsia="仿宋"/>
          <w:color w:val="000000"/>
        </w:rPr>
      </w:pPr>
      <w:bookmarkStart w:id="93" w:name="_Toc15396626"/>
      <w:bookmarkStart w:id="94" w:name="_Toc3303"/>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93"/>
      <w:bookmarkEnd w:id="94"/>
    </w:p>
    <w:p>
      <w:pPr>
        <w:pStyle w:val="3"/>
        <w:rPr>
          <w:rFonts w:ascii="仿宋" w:hAnsi="仿宋" w:eastAsia="仿宋"/>
          <w:color w:val="000000"/>
        </w:rPr>
      </w:pPr>
      <w:bookmarkStart w:id="95" w:name="_Toc15396627"/>
      <w:bookmarkStart w:id="96" w:name="_Toc15098"/>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95"/>
      <w:bookmarkEnd w:id="96"/>
    </w:p>
    <w:p>
      <w:pPr>
        <w:pStyle w:val="3"/>
        <w:rPr>
          <w:rFonts w:ascii="仿宋" w:hAnsi="仿宋" w:eastAsia="仿宋"/>
          <w:color w:val="000000"/>
        </w:rPr>
      </w:pPr>
      <w:bookmarkStart w:id="97" w:name="_Toc14236"/>
      <w:bookmarkStart w:id="98"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97"/>
      <w:bookmarkEnd w:id="98"/>
    </w:p>
    <w:p>
      <w:pPr>
        <w:pStyle w:val="3"/>
        <w:rPr>
          <w:rFonts w:ascii="仿宋" w:hAnsi="仿宋" w:eastAsia="仿宋"/>
          <w:color w:val="000000"/>
        </w:rPr>
      </w:pPr>
      <w:bookmarkStart w:id="99" w:name="_Toc7445"/>
      <w:bookmarkStart w:id="10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99"/>
      <w:bookmarkEnd w:id="100"/>
    </w:p>
    <w:p>
      <w:pPr>
        <w:pStyle w:val="3"/>
        <w:rPr>
          <w:rFonts w:ascii="仿宋" w:hAnsi="仿宋" w:eastAsia="仿宋"/>
          <w:color w:val="000000"/>
        </w:rPr>
      </w:pPr>
      <w:bookmarkStart w:id="101" w:name="_Toc19135"/>
      <w:bookmarkStart w:id="102"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101"/>
      <w:bookmarkEnd w:id="102"/>
    </w:p>
    <w:p>
      <w:pPr>
        <w:pStyle w:val="3"/>
        <w:rPr>
          <w:rFonts w:ascii="仿宋" w:hAnsi="仿宋" w:eastAsia="仿宋"/>
          <w:color w:val="000000" w:themeColor="text1"/>
        </w:rPr>
      </w:pPr>
      <w:bookmarkStart w:id="103" w:name="_Toc15396631"/>
      <w:bookmarkStart w:id="104" w:name="_Toc5873"/>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103"/>
      <w:bookmarkEnd w:id="104"/>
    </w:p>
    <w:p>
      <w:pPr>
        <w:pStyle w:val="3"/>
        <w:rPr>
          <w:rFonts w:ascii="仿宋" w:hAnsi="仿宋" w:eastAsia="仿宋"/>
          <w:color w:val="000000" w:themeColor="text1"/>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0000008"/>
    <w:multiLevelType w:val="multilevel"/>
    <w:tmpl w:val="00000008"/>
    <w:lvl w:ilvl="0" w:tentative="0">
      <w:start w:val="3"/>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87285B"/>
    <w:rsid w:val="03CB013A"/>
    <w:rsid w:val="08C45438"/>
    <w:rsid w:val="094824A7"/>
    <w:rsid w:val="0B1C229F"/>
    <w:rsid w:val="0C70513A"/>
    <w:rsid w:val="0CBA724A"/>
    <w:rsid w:val="0F8D0AFA"/>
    <w:rsid w:val="107037FC"/>
    <w:rsid w:val="10C055FF"/>
    <w:rsid w:val="113A1030"/>
    <w:rsid w:val="16BB723D"/>
    <w:rsid w:val="18F35AC5"/>
    <w:rsid w:val="1A8F6D87"/>
    <w:rsid w:val="1BF83BDE"/>
    <w:rsid w:val="1C024ADE"/>
    <w:rsid w:val="1FE27A23"/>
    <w:rsid w:val="206C504E"/>
    <w:rsid w:val="20EF7E49"/>
    <w:rsid w:val="22481ABE"/>
    <w:rsid w:val="228F77BE"/>
    <w:rsid w:val="240371BF"/>
    <w:rsid w:val="29FD04D3"/>
    <w:rsid w:val="2B44702A"/>
    <w:rsid w:val="2B9079C7"/>
    <w:rsid w:val="2C1466FB"/>
    <w:rsid w:val="319F7F4E"/>
    <w:rsid w:val="324B4D0D"/>
    <w:rsid w:val="36F42023"/>
    <w:rsid w:val="37E77CDE"/>
    <w:rsid w:val="45ED5776"/>
    <w:rsid w:val="48872FBF"/>
    <w:rsid w:val="4B0307C7"/>
    <w:rsid w:val="4ECE2238"/>
    <w:rsid w:val="511311E5"/>
    <w:rsid w:val="540F162D"/>
    <w:rsid w:val="55697856"/>
    <w:rsid w:val="55CC503D"/>
    <w:rsid w:val="5C514255"/>
    <w:rsid w:val="5D6F45C7"/>
    <w:rsid w:val="614834EE"/>
    <w:rsid w:val="616D757B"/>
    <w:rsid w:val="6C625CBC"/>
    <w:rsid w:val="72734D90"/>
    <w:rsid w:val="73625AD6"/>
    <w:rsid w:val="765F1B06"/>
    <w:rsid w:val="7F0E04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WPSOffice手动目录 1"/>
    <w:qFormat/>
    <w:uiPriority w:val="0"/>
    <w:pPr>
      <w:ind w:leftChars="0"/>
    </w:pPr>
    <w:rPr>
      <w:rFonts w:ascii="Calibri" w:hAnsi="Calibri" w:eastAsia="宋体" w:cs="Times New Roman"/>
      <w:sz w:val="20"/>
      <w:szCs w:val="20"/>
    </w:rPr>
  </w:style>
  <w:style w:type="paragraph" w:customStyle="1" w:styleId="32">
    <w:name w:val="WPSOffice手动目录 2"/>
    <w:qFormat/>
    <w:uiPriority w:val="0"/>
    <w:pPr>
      <w:ind w:leftChars="200"/>
    </w:pPr>
    <w:rPr>
      <w:rFonts w:ascii="Calibri" w:hAnsi="Calibri" w:eastAsia="宋体" w:cs="Times New Roman"/>
      <w:sz w:val="20"/>
      <w:szCs w:val="20"/>
    </w:rPr>
  </w:style>
  <w:style w:type="paragraph" w:customStyle="1" w:styleId="33">
    <w:name w:val="列出段落1"/>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2</TotalTime>
  <ScaleCrop>false</ScaleCrop>
  <LinksUpToDate>false</LinksUpToDate>
  <CharactersWithSpaces>8536</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2020-09-23T03:16:00Z</cp:lastPrinted>
  <dcterms:modified xsi:type="dcterms:W3CDTF">2020-09-27T07:32:55Z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